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51" w:rsidRDefault="00BD4FBA" w:rsidP="00BD4FBA">
      <w:pPr>
        <w:spacing w:line="480" w:lineRule="auto"/>
        <w:jc w:val="center"/>
        <w:rPr>
          <w:b/>
        </w:rPr>
      </w:pPr>
      <w:r w:rsidRPr="00DD5E85">
        <w:rPr>
          <w:b/>
        </w:rPr>
        <w:t>Nominalism and the History of Constructivism in Western Philosophy</w:t>
      </w:r>
    </w:p>
    <w:p w:rsidR="00D34E2E" w:rsidRPr="00DD5E85" w:rsidRDefault="00D34E2E" w:rsidP="00BD4FBA">
      <w:pPr>
        <w:spacing w:line="480" w:lineRule="auto"/>
        <w:jc w:val="center"/>
        <w:rPr>
          <w:b/>
        </w:rPr>
      </w:pPr>
      <w:r>
        <w:rPr>
          <w:rFonts w:cs="Times New Roman"/>
          <w:b/>
        </w:rPr>
        <w:t>©</w:t>
      </w:r>
      <w:r>
        <w:rPr>
          <w:b/>
        </w:rPr>
        <w:t xml:space="preserve"> R Scott Smith, 2016</w:t>
      </w:r>
      <w:r w:rsidR="00B73DD2">
        <w:rPr>
          <w:b/>
        </w:rPr>
        <w:t xml:space="preserve">; </w:t>
      </w:r>
      <w:hyperlink r:id="rId8" w:history="1">
        <w:r w:rsidR="00B73DD2" w:rsidRPr="00500C6B">
          <w:rPr>
            <w:rStyle w:val="Hyperlink"/>
            <w:b/>
          </w:rPr>
          <w:t>scott.smith@biola.edu</w:t>
        </w:r>
      </w:hyperlink>
      <w:r w:rsidR="00B73DD2">
        <w:rPr>
          <w:b/>
        </w:rPr>
        <w:t xml:space="preserve"> </w:t>
      </w:r>
    </w:p>
    <w:p w:rsidR="00513526" w:rsidRDefault="00986F4C" w:rsidP="00BD4FBA">
      <w:pPr>
        <w:spacing w:line="480" w:lineRule="auto"/>
      </w:pPr>
      <w:r w:rsidRPr="007F0B03">
        <w:t xml:space="preserve">I have argued elsewhere that nominalism </w:t>
      </w:r>
      <w:r w:rsidR="0057662D" w:rsidRPr="007F0B03">
        <w:t>(</w:t>
      </w:r>
      <w:r w:rsidRPr="007F0B03">
        <w:t>whether trope or austere varieties</w:t>
      </w:r>
      <w:r w:rsidR="0057662D" w:rsidRPr="007F0B03">
        <w:t>)</w:t>
      </w:r>
      <w:r w:rsidRPr="007F0B03">
        <w:t xml:space="preserve"> is sufficient for a view to be constructivist. </w:t>
      </w:r>
      <w:r w:rsidR="0057662D" w:rsidRPr="007F0B03">
        <w:t>D</w:t>
      </w:r>
      <w:r w:rsidR="007C5ABC" w:rsidRPr="007F0B03">
        <w:t xml:space="preserve">ue to two </w:t>
      </w:r>
      <w:r w:rsidR="00A5259C">
        <w:t xml:space="preserve">interrelated </w:t>
      </w:r>
      <w:r w:rsidR="007C5ABC" w:rsidRPr="007F0B03">
        <w:t xml:space="preserve">factors, nominalism about properties results in a </w:t>
      </w:r>
      <w:r w:rsidR="0057662D" w:rsidRPr="007F0B03">
        <w:t xml:space="preserve">loss of any qualitative features </w:t>
      </w:r>
      <w:r w:rsidR="007C5ABC" w:rsidRPr="007F0B03">
        <w:t>of reality.</w:t>
      </w:r>
      <w:r w:rsidR="00DD5E85" w:rsidRPr="007F0B03">
        <w:rPr>
          <w:rStyle w:val="FootnoteReference"/>
        </w:rPr>
        <w:footnoteReference w:id="1"/>
      </w:r>
      <w:r w:rsidR="007C5ABC" w:rsidRPr="007F0B03">
        <w:t xml:space="preserve"> </w:t>
      </w:r>
      <w:r w:rsidR="00A5259C">
        <w:t xml:space="preserve">First, </w:t>
      </w:r>
      <w:r w:rsidR="00A5259C" w:rsidRPr="007F0B03">
        <w:t xml:space="preserve">due to the very nature of nominalism, </w:t>
      </w:r>
      <w:r w:rsidR="00A5259C">
        <w:t xml:space="preserve">it seems that </w:t>
      </w:r>
      <w:r w:rsidR="00A5259C" w:rsidRPr="007F0B03">
        <w:t>whether on trope or austere varieties, any given</w:t>
      </w:r>
      <w:r w:rsidR="00A5259C">
        <w:t xml:space="preserve"> particular is</w:t>
      </w:r>
      <w:r w:rsidR="00A5259C" w:rsidRPr="007F0B03">
        <w:t xml:space="preserve"> </w:t>
      </w:r>
      <w:r w:rsidR="00A935D2">
        <w:t xml:space="preserve">metaphysically </w:t>
      </w:r>
      <w:r w:rsidR="00A5259C" w:rsidRPr="007F0B03">
        <w:t xml:space="preserve">simple. </w:t>
      </w:r>
      <w:r w:rsidR="00A935D2">
        <w:t xml:space="preserve">On trope theory, tropes are particular properties or objects. On austere </w:t>
      </w:r>
      <w:r w:rsidR="00513526">
        <w:t xml:space="preserve">and metalinguistic </w:t>
      </w:r>
      <w:r w:rsidR="00A935D2">
        <w:t xml:space="preserve">nominalism, </w:t>
      </w:r>
      <w:r w:rsidR="00513526">
        <w:t xml:space="preserve">their </w:t>
      </w:r>
      <w:r w:rsidR="00A935D2">
        <w:t xml:space="preserve">objects are concrete particulars. In either case, as simples, these objects are </w:t>
      </w:r>
      <w:r w:rsidR="00A935D2" w:rsidRPr="00513526">
        <w:rPr>
          <w:i/>
        </w:rPr>
        <w:t>not</w:t>
      </w:r>
      <w:r w:rsidR="00A935D2">
        <w:t xml:space="preserve"> an individuator plus a quality. So, a distinction between an individuator and a quality is on</w:t>
      </w:r>
      <w:r w:rsidR="00513526">
        <w:t>e of reason, not ontology. Accordingly</w:t>
      </w:r>
      <w:r w:rsidR="00A935D2">
        <w:t xml:space="preserve">, we can eliminate either the individuator or the quality </w:t>
      </w:r>
      <w:r w:rsidR="00513526">
        <w:t xml:space="preserve">without real loss. By eliminating the quality, we are left with a bare individuator. </w:t>
      </w:r>
      <w:r w:rsidR="00A5259C" w:rsidRPr="007F0B03">
        <w:t>But</w:t>
      </w:r>
      <w:r w:rsidR="00A5259C">
        <w:t>,</w:t>
      </w:r>
      <w:r w:rsidR="00A5259C" w:rsidRPr="007F0B03">
        <w:t xml:space="preserve"> that is incoherent.</w:t>
      </w:r>
      <w:r w:rsidR="00A5259C" w:rsidRPr="007F0B03">
        <w:rPr>
          <w:rStyle w:val="FootnoteReference"/>
        </w:rPr>
        <w:footnoteReference w:id="2"/>
      </w:r>
    </w:p>
    <w:p w:rsidR="0057662D" w:rsidRPr="007F0B03" w:rsidRDefault="00A5259C" w:rsidP="00513526">
      <w:pPr>
        <w:spacing w:line="480" w:lineRule="auto"/>
        <w:ind w:firstLine="720"/>
      </w:pPr>
      <w:r w:rsidRPr="007F0B03">
        <w:t xml:space="preserve">In terms of qualitative content, </w:t>
      </w:r>
      <w:r w:rsidR="00513526">
        <w:t>both the objects to be known as well as our mental states</w:t>
      </w:r>
      <w:r w:rsidRPr="007F0B03">
        <w:t xml:space="preserve"> would be</w:t>
      </w:r>
      <w:r w:rsidR="00513526">
        <w:t xml:space="preserve"> bereft of qualitative content</w:t>
      </w:r>
      <w:r w:rsidRPr="007F0B03">
        <w:t xml:space="preserve">. Yet, nominalists do not write (or live) consistently with such results; instead, they make many knowledge claims about </w:t>
      </w:r>
      <w:r w:rsidR="00DD0771">
        <w:t xml:space="preserve">the qualities of </w:t>
      </w:r>
      <w:r w:rsidRPr="007F0B03">
        <w:t>reality.</w:t>
      </w:r>
      <w:r>
        <w:t xml:space="preserve"> </w:t>
      </w:r>
      <w:r w:rsidR="002D570E">
        <w:t xml:space="preserve">Second, this finding has a specific implication, </w:t>
      </w:r>
      <w:r w:rsidR="005F4432">
        <w:t xml:space="preserve">i.e., </w:t>
      </w:r>
      <w:r w:rsidR="002D570E">
        <w:t xml:space="preserve">it seems </w:t>
      </w:r>
      <w:r w:rsidR="007C5ABC" w:rsidRPr="007F0B03">
        <w:t>essences</w:t>
      </w:r>
      <w:r>
        <w:t xml:space="preserve"> cannot be sustained</w:t>
      </w:r>
      <w:r w:rsidR="002D570E">
        <w:t>.</w:t>
      </w:r>
      <w:r w:rsidR="007C5ABC" w:rsidRPr="007F0B03">
        <w:t xml:space="preserve"> </w:t>
      </w:r>
      <w:r w:rsidR="005F4432">
        <w:t>If so</w:t>
      </w:r>
      <w:r w:rsidR="002D570E">
        <w:t>,</w:t>
      </w:r>
      <w:r>
        <w:t xml:space="preserve"> </w:t>
      </w:r>
      <w:r w:rsidR="007C5ABC" w:rsidRPr="007F0B03">
        <w:t xml:space="preserve">there </w:t>
      </w:r>
      <w:r w:rsidR="002D570E">
        <w:t>will be</w:t>
      </w:r>
      <w:r w:rsidR="007C5ABC" w:rsidRPr="007F0B03">
        <w:t xml:space="preserve"> no deeper facts that make anything what it is in itself. </w:t>
      </w:r>
      <w:r w:rsidR="005F4432">
        <w:t>It seems the result is that e</w:t>
      </w:r>
      <w:r w:rsidR="007F0B03">
        <w:t>verything is interpretation, yet without a way even to get started.</w:t>
      </w:r>
      <w:r w:rsidR="005F4432">
        <w:rPr>
          <w:rStyle w:val="FootnoteReference"/>
        </w:rPr>
        <w:footnoteReference w:id="3"/>
      </w:r>
    </w:p>
    <w:p w:rsidR="004A269A" w:rsidRPr="009D0932" w:rsidRDefault="00986F4C" w:rsidP="009D0932">
      <w:pPr>
        <w:spacing w:line="480" w:lineRule="auto"/>
        <w:ind w:firstLine="720"/>
      </w:pPr>
      <w:r>
        <w:t xml:space="preserve">So, </w:t>
      </w:r>
      <w:r w:rsidR="00A55101">
        <w:t xml:space="preserve">in an attempt to be consistent, on nominalism it seems that </w:t>
      </w:r>
      <w:r w:rsidR="0062101E">
        <w:t>f</w:t>
      </w:r>
      <w:r w:rsidR="004C3BBB">
        <w:t>or there to be</w:t>
      </w:r>
      <w:r w:rsidR="0090549A">
        <w:t xml:space="preserve"> </w:t>
      </w:r>
      <w:r w:rsidR="0062101E">
        <w:t xml:space="preserve">any </w:t>
      </w:r>
      <w:r>
        <w:t xml:space="preserve">qualitative </w:t>
      </w:r>
      <w:r w:rsidR="00A55101">
        <w:t xml:space="preserve">features in </w:t>
      </w:r>
      <w:r w:rsidR="0062101E">
        <w:t>reality</w:t>
      </w:r>
      <w:r w:rsidR="004C3BBB">
        <w:t>,</w:t>
      </w:r>
      <w:r w:rsidR="00DD5E85">
        <w:t xml:space="preserve"> </w:t>
      </w:r>
      <w:r w:rsidR="004C3BBB">
        <w:t>they</w:t>
      </w:r>
      <w:r w:rsidR="00DD5E85">
        <w:t xml:space="preserve"> </w:t>
      </w:r>
      <w:r w:rsidR="004C3BBB">
        <w:t>would have to be constructed</w:t>
      </w:r>
      <w:r w:rsidR="00A55101">
        <w:t xml:space="preserve"> - </w:t>
      </w:r>
      <w:r w:rsidR="0090549A">
        <w:t>however that might be said to be accomplished</w:t>
      </w:r>
      <w:r w:rsidR="00DD5E85">
        <w:t>.</w:t>
      </w:r>
      <w:r w:rsidR="00A55101">
        <w:t xml:space="preserve"> Now, historically speaking, c</w:t>
      </w:r>
      <w:r w:rsidR="004C3BBB">
        <w:t>onstructivism has been</w:t>
      </w:r>
      <w:r w:rsidR="004E6EF5">
        <w:t xml:space="preserve"> entrenched </w:t>
      </w:r>
      <w:r w:rsidR="00645646">
        <w:t xml:space="preserve">deeply </w:t>
      </w:r>
      <w:r w:rsidR="004E6EF5">
        <w:t>in western philosophy</w:t>
      </w:r>
      <w:r w:rsidR="004C3BBB">
        <w:t xml:space="preserve"> for </w:t>
      </w:r>
      <w:r w:rsidR="00A55101">
        <w:t xml:space="preserve">well </w:t>
      </w:r>
      <w:r w:rsidR="004C3BBB">
        <w:t>over two centuries</w:t>
      </w:r>
      <w:r w:rsidR="0092262D">
        <w:t xml:space="preserve">, </w:t>
      </w:r>
      <w:r w:rsidR="00A55101">
        <w:t xml:space="preserve">although Ockham’s </w:t>
      </w:r>
      <w:r w:rsidR="00B55327">
        <w:t xml:space="preserve">(1285-1347) nominalist </w:t>
      </w:r>
      <w:r w:rsidR="00A55101">
        <w:lastRenderedPageBreak/>
        <w:t xml:space="preserve">views predate the rise of constructivism by many more centuries. I will focus here on the </w:t>
      </w:r>
      <w:r w:rsidR="007B6FBD">
        <w:t xml:space="preserve">historical </w:t>
      </w:r>
      <w:r w:rsidR="00A55101">
        <w:t>rise to d</w:t>
      </w:r>
      <w:r w:rsidR="007C2C5C">
        <w:t xml:space="preserve">ominance of constructivism, </w:t>
      </w:r>
      <w:r w:rsidR="00A55101">
        <w:t xml:space="preserve">to try to show that </w:t>
      </w:r>
      <w:r w:rsidR="0057662D">
        <w:t>its major examples</w:t>
      </w:r>
      <w:r w:rsidR="00A55101">
        <w:t xml:space="preserve"> embrace nominalism, and that their being </w:t>
      </w:r>
      <w:r w:rsidR="00A55101" w:rsidRPr="007F0B03">
        <w:t>constructiv</w:t>
      </w:r>
      <w:r w:rsidR="009D0932">
        <w:t>i</w:t>
      </w:r>
      <w:r w:rsidR="00A55101" w:rsidRPr="007F0B03">
        <w:t>st is no</w:t>
      </w:r>
      <w:r w:rsidR="007C2C5C" w:rsidRPr="007F0B03">
        <w:t xml:space="preserve">t </w:t>
      </w:r>
      <w:r w:rsidR="00A55101" w:rsidRPr="007F0B03">
        <w:t>accident</w:t>
      </w:r>
      <w:r w:rsidR="007C2C5C" w:rsidRPr="007F0B03">
        <w:t>al</w:t>
      </w:r>
      <w:r w:rsidR="005C3150">
        <w:t>.</w:t>
      </w:r>
      <w:r w:rsidR="00A55101" w:rsidRPr="007F0B03">
        <w:t xml:space="preserve"> </w:t>
      </w:r>
      <w:r w:rsidR="0057662D" w:rsidRPr="007F0B03">
        <w:t>Indeed,</w:t>
      </w:r>
      <w:r w:rsidR="00623550" w:rsidRPr="007F0B03">
        <w:t xml:space="preserve"> </w:t>
      </w:r>
      <w:r w:rsidR="0057662D" w:rsidRPr="007F0B03">
        <w:t>nominalism, along with a</w:t>
      </w:r>
      <w:r w:rsidR="0092262D" w:rsidRPr="007F0B03">
        <w:t xml:space="preserve"> related rejection of essences</w:t>
      </w:r>
      <w:r w:rsidR="00623550" w:rsidRPr="007F0B03">
        <w:t xml:space="preserve"> and embrace of empiricism</w:t>
      </w:r>
      <w:r w:rsidR="0092262D" w:rsidRPr="007F0B03">
        <w:t>, has driven constructivist thought.</w:t>
      </w:r>
      <w:r w:rsidR="004C3BBB" w:rsidRPr="007F0B03">
        <w:t xml:space="preserve"> </w:t>
      </w:r>
      <w:r w:rsidR="00E13DA7">
        <w:t xml:space="preserve">That is, </w:t>
      </w:r>
      <w:r w:rsidR="004A269A" w:rsidRPr="007F0B03">
        <w:t xml:space="preserve">in terms of how it has developed in the west, constructivism </w:t>
      </w:r>
      <w:r w:rsidR="001646FF" w:rsidRPr="007F0B03">
        <w:t xml:space="preserve">basically </w:t>
      </w:r>
      <w:r w:rsidR="004A269A" w:rsidRPr="007F0B03">
        <w:t xml:space="preserve">is an unfolding </w:t>
      </w:r>
      <w:r w:rsidR="004A269A">
        <w:t xml:space="preserve">and outworking of </w:t>
      </w:r>
      <w:r w:rsidR="00F82FDE">
        <w:t>nominalism</w:t>
      </w:r>
      <w:r w:rsidR="00623550">
        <w:t xml:space="preserve"> and its implications</w:t>
      </w:r>
      <w:r w:rsidR="007F0B03">
        <w:t>, first on ontology and then epistemology</w:t>
      </w:r>
      <w:r w:rsidR="004A269A">
        <w:t xml:space="preserve">. </w:t>
      </w:r>
      <w:r w:rsidR="003502D2">
        <w:t xml:space="preserve">For, </w:t>
      </w:r>
      <w:r w:rsidR="00CA785D">
        <w:t xml:space="preserve">as Dallas Willard </w:t>
      </w:r>
      <w:r w:rsidR="00C12AAE">
        <w:t>has observed</w:t>
      </w:r>
      <w:r w:rsidR="00CA785D">
        <w:t xml:space="preserve">, the breakdown </w:t>
      </w:r>
      <w:r w:rsidR="003502D2">
        <w:t xml:space="preserve">we have experienced </w:t>
      </w:r>
      <w:r w:rsidR="00CA785D">
        <w:t xml:space="preserve">in </w:t>
      </w:r>
      <w:r w:rsidR="00645646">
        <w:t>epistemology</w:t>
      </w:r>
      <w:r w:rsidR="007F0B03">
        <w:t xml:space="preserve"> that has given rise to constructivism</w:t>
      </w:r>
      <w:r w:rsidR="00CA785D">
        <w:t xml:space="preserve"> </w:t>
      </w:r>
      <w:r w:rsidR="00A83188">
        <w:t>(</w:t>
      </w:r>
      <w:r w:rsidR="00B54AFB">
        <w:t xml:space="preserve">the examples of </w:t>
      </w:r>
      <w:r w:rsidR="00A83188">
        <w:t xml:space="preserve">which he calls “Midas Touch” epistemologies) </w:t>
      </w:r>
      <w:r w:rsidR="00CA785D">
        <w:t>has occurred due to something more fundamental – namely, a breakdown in ontology.</w:t>
      </w:r>
      <w:r w:rsidR="000D1260">
        <w:rPr>
          <w:rStyle w:val="FootnoteReference"/>
        </w:rPr>
        <w:footnoteReference w:id="4"/>
      </w:r>
      <w:r w:rsidR="007F0B03">
        <w:t xml:space="preserve"> And th</w:t>
      </w:r>
      <w:r w:rsidR="00BB0C1C">
        <w:t>at latter “breakdown” seems to be</w:t>
      </w:r>
      <w:r w:rsidR="007F0B03">
        <w:t xml:space="preserve"> from the outworking of nominalism.</w:t>
      </w:r>
    </w:p>
    <w:p w:rsidR="00BD4FBA" w:rsidRPr="007A2DF7" w:rsidRDefault="00F05A35" w:rsidP="00F05A35">
      <w:pPr>
        <w:spacing w:line="480" w:lineRule="auto"/>
        <w:rPr>
          <w:rFonts w:cs="Times New Roman"/>
          <w:b/>
          <w:szCs w:val="24"/>
        </w:rPr>
      </w:pPr>
      <w:r w:rsidRPr="007A2DF7">
        <w:rPr>
          <w:b/>
        </w:rPr>
        <w:t>A History of Philosophical Constructivism in the West</w:t>
      </w:r>
    </w:p>
    <w:p w:rsidR="00A5047F" w:rsidRDefault="00211C13" w:rsidP="00B13101">
      <w:pPr>
        <w:pStyle w:val="BodyText"/>
        <w:spacing w:line="480" w:lineRule="auto"/>
        <w:rPr>
          <w:color w:val="auto"/>
        </w:rPr>
      </w:pPr>
      <w:r w:rsidRPr="00233DE0">
        <w:rPr>
          <w:color w:val="auto"/>
        </w:rPr>
        <w:t xml:space="preserve">Descartes </w:t>
      </w:r>
      <w:r w:rsidR="0027409E">
        <w:rPr>
          <w:color w:val="auto"/>
        </w:rPr>
        <w:t xml:space="preserve">(1596-1650) </w:t>
      </w:r>
      <w:r w:rsidRPr="00233DE0">
        <w:rPr>
          <w:color w:val="auto"/>
        </w:rPr>
        <w:t xml:space="preserve">and Locke </w:t>
      </w:r>
      <w:r w:rsidR="0027409E">
        <w:rPr>
          <w:color w:val="auto"/>
        </w:rPr>
        <w:t xml:space="preserve">(1632-1704) </w:t>
      </w:r>
      <w:r w:rsidR="00B13101">
        <w:rPr>
          <w:color w:val="auto"/>
        </w:rPr>
        <w:t xml:space="preserve">immediately </w:t>
      </w:r>
      <w:r w:rsidRPr="00233DE0">
        <w:rPr>
          <w:color w:val="auto"/>
        </w:rPr>
        <w:t>preceded t</w:t>
      </w:r>
      <w:r w:rsidR="007A2DF7" w:rsidRPr="00233DE0">
        <w:rPr>
          <w:color w:val="auto"/>
        </w:rPr>
        <w:t xml:space="preserve">he rise of </w:t>
      </w:r>
      <w:r w:rsidR="00B54AFB">
        <w:rPr>
          <w:color w:val="auto"/>
        </w:rPr>
        <w:t xml:space="preserve">a thoroughgoing </w:t>
      </w:r>
      <w:r w:rsidR="007A2DF7" w:rsidRPr="00233DE0">
        <w:rPr>
          <w:color w:val="auto"/>
        </w:rPr>
        <w:t>cons</w:t>
      </w:r>
      <w:r w:rsidRPr="00233DE0">
        <w:rPr>
          <w:color w:val="auto"/>
        </w:rPr>
        <w:t xml:space="preserve">tructivism, and so it can be helpful to examine their views first. Descartes held that ideas are constructions of the mind that it puts together; thus, the mind “patches out” its objects. Still, </w:t>
      </w:r>
      <w:r w:rsidR="00D42363">
        <w:rPr>
          <w:color w:val="auto"/>
        </w:rPr>
        <w:t xml:space="preserve">he allowed for a way to know reality itself: </w:t>
      </w:r>
      <w:r w:rsidRPr="00233DE0">
        <w:rPr>
          <w:color w:val="auto"/>
        </w:rPr>
        <w:t>we can discover unconstructed ideas, such as of God. Such</w:t>
      </w:r>
      <w:r w:rsidR="00106A6F" w:rsidRPr="00233DE0">
        <w:rPr>
          <w:color w:val="auto"/>
        </w:rPr>
        <w:t xml:space="preserve"> ideas are clear and distinct. Locke was one of the British</w:t>
      </w:r>
      <w:r w:rsidRPr="00233DE0">
        <w:rPr>
          <w:color w:val="auto"/>
        </w:rPr>
        <w:t xml:space="preserve"> empiricist</w:t>
      </w:r>
      <w:r w:rsidR="00106A6F" w:rsidRPr="00233DE0">
        <w:rPr>
          <w:color w:val="auto"/>
        </w:rPr>
        <w:t>s</w:t>
      </w:r>
      <w:r w:rsidRPr="00233DE0">
        <w:rPr>
          <w:color w:val="auto"/>
        </w:rPr>
        <w:t xml:space="preserve">, </w:t>
      </w:r>
      <w:r w:rsidR="00106A6F" w:rsidRPr="00233DE0">
        <w:rPr>
          <w:color w:val="auto"/>
        </w:rPr>
        <w:t>and he too</w:t>
      </w:r>
      <w:r w:rsidRPr="00233DE0">
        <w:rPr>
          <w:color w:val="auto"/>
        </w:rPr>
        <w:t xml:space="preserve"> </w:t>
      </w:r>
      <w:r w:rsidR="009D0932">
        <w:rPr>
          <w:color w:val="auto"/>
        </w:rPr>
        <w:t>thought ideas are</w:t>
      </w:r>
      <w:r w:rsidRPr="00233DE0">
        <w:rPr>
          <w:color w:val="auto"/>
        </w:rPr>
        <w:t xml:space="preserve"> the primary obj</w:t>
      </w:r>
      <w:r w:rsidR="00106A6F" w:rsidRPr="00233DE0">
        <w:rPr>
          <w:color w:val="auto"/>
        </w:rPr>
        <w:t>ects before the mind. While we make a</w:t>
      </w:r>
      <w:r w:rsidRPr="00233DE0">
        <w:rPr>
          <w:color w:val="auto"/>
        </w:rPr>
        <w:t>bstract ideas</w:t>
      </w:r>
      <w:r w:rsidR="00106A6F" w:rsidRPr="00233DE0">
        <w:rPr>
          <w:color w:val="auto"/>
        </w:rPr>
        <w:t xml:space="preserve">, </w:t>
      </w:r>
      <w:r w:rsidR="00D42363">
        <w:rPr>
          <w:color w:val="auto"/>
        </w:rPr>
        <w:t xml:space="preserve">Locke thought </w:t>
      </w:r>
      <w:r w:rsidR="00106A6F" w:rsidRPr="00233DE0">
        <w:rPr>
          <w:color w:val="auto"/>
        </w:rPr>
        <w:t xml:space="preserve">we cannot create </w:t>
      </w:r>
      <w:r w:rsidRPr="00233DE0">
        <w:rPr>
          <w:color w:val="auto"/>
        </w:rPr>
        <w:t xml:space="preserve">simple ideas, </w:t>
      </w:r>
      <w:r w:rsidR="00106A6F" w:rsidRPr="00233DE0">
        <w:rPr>
          <w:color w:val="auto"/>
        </w:rPr>
        <w:t xml:space="preserve">for </w:t>
      </w:r>
      <w:r w:rsidRPr="00233DE0">
        <w:rPr>
          <w:color w:val="auto"/>
        </w:rPr>
        <w:t>we work with the ideas received by our senses from external objects.</w:t>
      </w:r>
      <w:r w:rsidRPr="00233DE0">
        <w:rPr>
          <w:rStyle w:val="FootnoteReference"/>
          <w:color w:val="auto"/>
        </w:rPr>
        <w:footnoteReference w:id="5"/>
      </w:r>
      <w:r w:rsidR="00106A6F" w:rsidRPr="00233DE0">
        <w:rPr>
          <w:color w:val="auto"/>
        </w:rPr>
        <w:t xml:space="preserve">  For Locke, s</w:t>
      </w:r>
      <w:r w:rsidRPr="00233DE0">
        <w:rPr>
          <w:color w:val="auto"/>
        </w:rPr>
        <w:t xml:space="preserve">imple ideas provide a </w:t>
      </w:r>
      <w:r w:rsidR="00106A6F" w:rsidRPr="00233DE0">
        <w:rPr>
          <w:color w:val="auto"/>
        </w:rPr>
        <w:t xml:space="preserve">way to access </w:t>
      </w:r>
      <w:r w:rsidRPr="00233DE0">
        <w:rPr>
          <w:color w:val="auto"/>
        </w:rPr>
        <w:t>an unconstructed re</w:t>
      </w:r>
      <w:r w:rsidR="00106A6F" w:rsidRPr="00233DE0">
        <w:rPr>
          <w:color w:val="auto"/>
        </w:rPr>
        <w:t>ality</w:t>
      </w:r>
      <w:r w:rsidRPr="00233DE0">
        <w:rPr>
          <w:color w:val="auto"/>
        </w:rPr>
        <w:t>.</w:t>
      </w:r>
    </w:p>
    <w:p w:rsidR="00E30F71" w:rsidRDefault="00BF4FF6" w:rsidP="00A5047F">
      <w:pPr>
        <w:pStyle w:val="BodyText"/>
        <w:spacing w:line="480" w:lineRule="auto"/>
        <w:ind w:firstLine="720"/>
        <w:rPr>
          <w:color w:val="auto"/>
        </w:rPr>
      </w:pPr>
      <w:r>
        <w:rPr>
          <w:color w:val="auto"/>
        </w:rPr>
        <w:lastRenderedPageBreak/>
        <w:t xml:space="preserve">But </w:t>
      </w:r>
      <w:r w:rsidR="0000090F">
        <w:rPr>
          <w:color w:val="auto"/>
        </w:rPr>
        <w:t xml:space="preserve">with the advent of </w:t>
      </w:r>
      <w:r w:rsidR="0000090F">
        <w:rPr>
          <w:szCs w:val="24"/>
        </w:rPr>
        <w:t>a</w:t>
      </w:r>
      <w:r w:rsidRPr="000F507B">
        <w:t xml:space="preserve"> </w:t>
      </w:r>
      <w:r w:rsidR="00DB55B2">
        <w:rPr>
          <w:color w:val="auto"/>
        </w:rPr>
        <w:t xml:space="preserve">more consistent empiricism, </w:t>
      </w:r>
      <w:r w:rsidR="0000090F">
        <w:rPr>
          <w:color w:val="auto"/>
        </w:rPr>
        <w:t xml:space="preserve">the focus in epistemology shifted from ideas to sense experience. Hume </w:t>
      </w:r>
      <w:r w:rsidR="0000090F" w:rsidRPr="00BF4FF6">
        <w:rPr>
          <w:szCs w:val="24"/>
        </w:rPr>
        <w:t>(1711-1776)</w:t>
      </w:r>
      <w:r w:rsidR="0000090F">
        <w:rPr>
          <w:szCs w:val="24"/>
        </w:rPr>
        <w:t xml:space="preserve"> limited </w:t>
      </w:r>
      <w:r w:rsidR="00DB55B2">
        <w:rPr>
          <w:color w:val="auto"/>
        </w:rPr>
        <w:t xml:space="preserve">knowledge to what comes by way of the five senses. Since we cannot be acquainted </w:t>
      </w:r>
      <w:r w:rsidR="00833820">
        <w:rPr>
          <w:color w:val="auto"/>
        </w:rPr>
        <w:t xml:space="preserve">empirically </w:t>
      </w:r>
      <w:r w:rsidR="00DB55B2">
        <w:rPr>
          <w:color w:val="auto"/>
        </w:rPr>
        <w:t>with</w:t>
      </w:r>
      <w:r w:rsidR="00E30F71">
        <w:rPr>
          <w:color w:val="auto"/>
        </w:rPr>
        <w:t xml:space="preserve"> anything immaterial</w:t>
      </w:r>
      <w:r w:rsidR="00DB55B2">
        <w:rPr>
          <w:color w:val="auto"/>
        </w:rPr>
        <w:t xml:space="preserve">, </w:t>
      </w:r>
      <w:r w:rsidR="00E50FF0">
        <w:rPr>
          <w:color w:val="auto"/>
        </w:rPr>
        <w:t xml:space="preserve">universals </w:t>
      </w:r>
      <w:r w:rsidR="0076367D">
        <w:rPr>
          <w:color w:val="auto"/>
        </w:rPr>
        <w:t xml:space="preserve">and essential natures </w:t>
      </w:r>
      <w:r w:rsidR="00E50FF0">
        <w:rPr>
          <w:color w:val="auto"/>
        </w:rPr>
        <w:t xml:space="preserve">would not be knowable. </w:t>
      </w:r>
      <w:r w:rsidR="00684ED8">
        <w:rPr>
          <w:color w:val="auto"/>
        </w:rPr>
        <w:t xml:space="preserve">So, even if they </w:t>
      </w:r>
      <w:r w:rsidR="00407CC2">
        <w:rPr>
          <w:color w:val="auto"/>
        </w:rPr>
        <w:t xml:space="preserve">did </w:t>
      </w:r>
      <w:r w:rsidR="00684ED8">
        <w:rPr>
          <w:color w:val="auto"/>
        </w:rPr>
        <w:t xml:space="preserve">exist, there is no place for essences to do any work. </w:t>
      </w:r>
      <w:r w:rsidR="00E50FF0">
        <w:rPr>
          <w:color w:val="auto"/>
        </w:rPr>
        <w:t>A</w:t>
      </w:r>
      <w:r w:rsidR="00DB55B2">
        <w:rPr>
          <w:color w:val="auto"/>
        </w:rPr>
        <w:t xml:space="preserve">ll that could be before the mind would be </w:t>
      </w:r>
      <w:r w:rsidR="00833820">
        <w:rPr>
          <w:color w:val="auto"/>
        </w:rPr>
        <w:t xml:space="preserve">spatially and temporally located, and thus </w:t>
      </w:r>
      <w:r w:rsidR="00DB55B2">
        <w:rPr>
          <w:color w:val="auto"/>
        </w:rPr>
        <w:t>particular</w:t>
      </w:r>
      <w:r w:rsidR="0076367D">
        <w:rPr>
          <w:color w:val="auto"/>
        </w:rPr>
        <w:t>.</w:t>
      </w:r>
    </w:p>
    <w:p w:rsidR="00314907" w:rsidRPr="00606CDF" w:rsidRDefault="00E05124" w:rsidP="00606CDF">
      <w:pPr>
        <w:pStyle w:val="BodyText"/>
        <w:spacing w:line="480" w:lineRule="auto"/>
        <w:ind w:firstLine="720"/>
        <w:rPr>
          <w:color w:val="auto"/>
        </w:rPr>
      </w:pPr>
      <w:r>
        <w:t>Additionally</w:t>
      </w:r>
      <w:r w:rsidR="00314907">
        <w:t xml:space="preserve">, the flow of </w:t>
      </w:r>
      <w:r>
        <w:t xml:space="preserve">our </w:t>
      </w:r>
      <w:r w:rsidR="00314907">
        <w:t>ideas is internally driven</w:t>
      </w:r>
      <w:r>
        <w:t>; there is nothing that impinges upon the mind externally</w:t>
      </w:r>
      <w:r w:rsidR="00314907">
        <w:t xml:space="preserve">. </w:t>
      </w:r>
      <w:r>
        <w:t xml:space="preserve">Due to his </w:t>
      </w:r>
      <w:r w:rsidR="00314907">
        <w:t>empiricism</w:t>
      </w:r>
      <w:r>
        <w:t>, be believed that</w:t>
      </w:r>
      <w:r w:rsidR="00314907">
        <w:t xml:space="preserve"> “since nothing is ever really present to the mind, besides its own perceptions, ‘tis not only impossible, that any habit shou’d ever be acquir’d oth</w:t>
      </w:r>
      <w:r w:rsidR="00314907" w:rsidRPr="00814B37">
        <w:rPr>
          <w:color w:val="auto"/>
        </w:rPr>
        <w:t>erwise than by the regular succession of these perceptions, but also that any habit shou’d ever exceed that degree of regularity</w:t>
      </w:r>
      <w:r w:rsidR="00314907" w:rsidRPr="00E30F71">
        <w:rPr>
          <w:color w:val="auto"/>
          <w:szCs w:val="24"/>
        </w:rPr>
        <w:t>.”</w:t>
      </w:r>
      <w:r w:rsidR="00314907" w:rsidRPr="00E30F71">
        <w:rPr>
          <w:rStyle w:val="FootnoteReference"/>
          <w:color w:val="auto"/>
          <w:szCs w:val="24"/>
        </w:rPr>
        <w:footnoteReference w:id="6"/>
      </w:r>
      <w:r w:rsidR="00314907" w:rsidRPr="00E30F71">
        <w:rPr>
          <w:color w:val="auto"/>
          <w:szCs w:val="24"/>
        </w:rPr>
        <w:t xml:space="preserve"> </w:t>
      </w:r>
      <w:r w:rsidRPr="00E30F71">
        <w:rPr>
          <w:color w:val="auto"/>
          <w:szCs w:val="24"/>
        </w:rPr>
        <w:t>When we perceive an independent</w:t>
      </w:r>
      <w:r w:rsidRPr="00814B37">
        <w:rPr>
          <w:color w:val="auto"/>
        </w:rPr>
        <w:t>, or distinct,</w:t>
      </w:r>
      <w:r w:rsidR="00314907" w:rsidRPr="00814B37">
        <w:rPr>
          <w:color w:val="auto"/>
        </w:rPr>
        <w:t xml:space="preserve"> existence, or a relation, like identity, </w:t>
      </w:r>
      <w:r w:rsidRPr="00814B37">
        <w:rPr>
          <w:color w:val="auto"/>
        </w:rPr>
        <w:t>these are</w:t>
      </w:r>
      <w:r w:rsidR="00314907" w:rsidRPr="00814B37">
        <w:rPr>
          <w:color w:val="auto"/>
        </w:rPr>
        <w:t xml:space="preserve"> psychological projection</w:t>
      </w:r>
      <w:r w:rsidRPr="00814B37">
        <w:rPr>
          <w:color w:val="auto"/>
        </w:rPr>
        <w:t>s</w:t>
      </w:r>
      <w:r w:rsidR="00314907" w:rsidRPr="00814B37">
        <w:rPr>
          <w:color w:val="auto"/>
        </w:rPr>
        <w:t>, product</w:t>
      </w:r>
      <w:r w:rsidRPr="00814B37">
        <w:rPr>
          <w:color w:val="auto"/>
        </w:rPr>
        <w:t>s of the imagination</w:t>
      </w:r>
      <w:r w:rsidR="006125F1">
        <w:rPr>
          <w:color w:val="auto"/>
        </w:rPr>
        <w:t xml:space="preserve"> due to </w:t>
      </w:r>
      <w:r w:rsidR="006125F1" w:rsidRPr="006125F1">
        <w:rPr>
          <w:i/>
          <w:color w:val="auto"/>
        </w:rPr>
        <w:t>custom</w:t>
      </w:r>
      <w:r w:rsidRPr="00814B37">
        <w:rPr>
          <w:color w:val="auto"/>
        </w:rPr>
        <w:t>.</w:t>
      </w:r>
      <w:r w:rsidR="00314907" w:rsidRPr="009C653D">
        <w:rPr>
          <w:color w:val="FF0000"/>
        </w:rPr>
        <w:t xml:space="preserve"> </w:t>
      </w:r>
      <w:r>
        <w:t>To help explain this</w:t>
      </w:r>
      <w:r w:rsidR="00314907">
        <w:t>,</w:t>
      </w:r>
      <w:r>
        <w:t xml:space="preserve"> Hume claimed</w:t>
      </w:r>
      <w:r w:rsidR="00314907">
        <w:t xml:space="preserve">  </w:t>
      </w:r>
    </w:p>
    <w:p w:rsidR="00314907" w:rsidRPr="00606CDF" w:rsidRDefault="00314907" w:rsidP="00606CDF">
      <w:pPr>
        <w:pStyle w:val="BodyText"/>
        <w:ind w:left="720"/>
        <w:rPr>
          <w:sz w:val="22"/>
          <w:szCs w:val="22"/>
        </w:rPr>
      </w:pPr>
      <w:r w:rsidRPr="00606CDF">
        <w:rPr>
          <w:sz w:val="22"/>
          <w:szCs w:val="22"/>
        </w:rPr>
        <w:t>When we have been accustom’d to observe a constancy in certain impressions, and have found, that the perception of the sun or ocean, for instance, returns upon us after an absence or annihilation with like parts and in a like order, as at its first appearance, we are not apt to regard these interrupted perceptions as different (</w:t>
      </w:r>
      <w:r w:rsidRPr="00606CDF">
        <w:rPr>
          <w:i/>
          <w:sz w:val="22"/>
          <w:szCs w:val="22"/>
        </w:rPr>
        <w:t>which they really are</w:t>
      </w:r>
      <w:r w:rsidRPr="00606CDF">
        <w:rPr>
          <w:sz w:val="22"/>
          <w:szCs w:val="22"/>
        </w:rPr>
        <w:t>) but on the contrary consider them as individually the same, upon account of their resemblance.</w:t>
      </w:r>
      <w:r w:rsidRPr="00606CDF">
        <w:rPr>
          <w:rStyle w:val="FootnoteReference"/>
          <w:sz w:val="22"/>
          <w:szCs w:val="22"/>
        </w:rPr>
        <w:footnoteReference w:id="7"/>
      </w:r>
    </w:p>
    <w:p w:rsidR="00314907" w:rsidRDefault="00314907" w:rsidP="00314907">
      <w:pPr>
        <w:pStyle w:val="BodyText"/>
        <w:rPr>
          <w:sz w:val="22"/>
        </w:rPr>
      </w:pPr>
    </w:p>
    <w:p w:rsidR="006125F1" w:rsidRDefault="00F57709" w:rsidP="006125F1">
      <w:pPr>
        <w:pStyle w:val="BodyText"/>
        <w:spacing w:line="480" w:lineRule="auto"/>
        <w:ind w:firstLine="720"/>
        <w:rPr>
          <w:color w:val="auto"/>
        </w:rPr>
      </w:pPr>
      <w:r w:rsidRPr="00EA262C">
        <w:rPr>
          <w:color w:val="auto"/>
        </w:rPr>
        <w:t>Following</w:t>
      </w:r>
      <w:r w:rsidR="00E05124" w:rsidRPr="00EA262C">
        <w:rPr>
          <w:color w:val="auto"/>
        </w:rPr>
        <w:t xml:space="preserve"> </w:t>
      </w:r>
      <w:r w:rsidR="00314907" w:rsidRPr="00EA262C">
        <w:rPr>
          <w:color w:val="auto"/>
        </w:rPr>
        <w:t>his empiricism</w:t>
      </w:r>
      <w:r w:rsidR="00E05124" w:rsidRPr="00EA262C">
        <w:rPr>
          <w:color w:val="auto"/>
        </w:rPr>
        <w:t xml:space="preserve">, </w:t>
      </w:r>
      <w:r w:rsidR="00606CDF">
        <w:rPr>
          <w:color w:val="auto"/>
        </w:rPr>
        <w:t xml:space="preserve">while there may be resemblances, </w:t>
      </w:r>
      <w:r w:rsidR="00314907" w:rsidRPr="00EA262C">
        <w:rPr>
          <w:color w:val="auto"/>
        </w:rPr>
        <w:t xml:space="preserve">there are </w:t>
      </w:r>
      <w:r w:rsidR="00E05124" w:rsidRPr="00EA262C">
        <w:rPr>
          <w:color w:val="auto"/>
        </w:rPr>
        <w:t xml:space="preserve">no </w:t>
      </w:r>
      <w:r w:rsidR="00606CDF">
        <w:rPr>
          <w:color w:val="auto"/>
        </w:rPr>
        <w:t>numerical</w:t>
      </w:r>
      <w:r w:rsidR="00314907" w:rsidRPr="00EA262C">
        <w:rPr>
          <w:color w:val="auto"/>
        </w:rPr>
        <w:t xml:space="preserve"> identities</w:t>
      </w:r>
      <w:r w:rsidR="00E05124" w:rsidRPr="00EA262C">
        <w:rPr>
          <w:color w:val="auto"/>
        </w:rPr>
        <w:t xml:space="preserve">. </w:t>
      </w:r>
      <w:r w:rsidR="00BA1829" w:rsidRPr="00EA262C">
        <w:rPr>
          <w:color w:val="auto"/>
        </w:rPr>
        <w:t xml:space="preserve">Indeed, </w:t>
      </w:r>
      <w:r w:rsidR="00814B37" w:rsidRPr="00EA262C">
        <w:rPr>
          <w:color w:val="auto"/>
        </w:rPr>
        <w:t xml:space="preserve">it seems that </w:t>
      </w:r>
      <w:r w:rsidR="000402DF" w:rsidRPr="00EA262C">
        <w:rPr>
          <w:color w:val="auto"/>
        </w:rPr>
        <w:t>a consistent empiricism</w:t>
      </w:r>
      <w:r w:rsidR="000402DF">
        <w:rPr>
          <w:color w:val="auto"/>
        </w:rPr>
        <w:t xml:space="preserve"> </w:t>
      </w:r>
      <w:r w:rsidR="0093469C" w:rsidRPr="00EA262C">
        <w:rPr>
          <w:color w:val="auto"/>
        </w:rPr>
        <w:t>entails nominalism</w:t>
      </w:r>
      <w:r w:rsidR="00BA1829" w:rsidRPr="00EA262C">
        <w:rPr>
          <w:color w:val="auto"/>
        </w:rPr>
        <w:t xml:space="preserve"> about properties</w:t>
      </w:r>
      <w:r w:rsidR="000402DF">
        <w:rPr>
          <w:color w:val="auto"/>
        </w:rPr>
        <w:t>, as was the case with him</w:t>
      </w:r>
      <w:r w:rsidR="00BA1829" w:rsidRPr="00EA262C">
        <w:rPr>
          <w:color w:val="auto"/>
        </w:rPr>
        <w:t>.</w:t>
      </w:r>
      <w:r w:rsidR="00EA262C">
        <w:rPr>
          <w:color w:val="auto"/>
        </w:rPr>
        <w:t xml:space="preserve"> And, his views have to be constructivist because </w:t>
      </w:r>
      <w:r w:rsidR="009C2DCD">
        <w:rPr>
          <w:color w:val="auto"/>
        </w:rPr>
        <w:t>any “objects” are just projecti</w:t>
      </w:r>
      <w:r w:rsidR="00D745A5">
        <w:rPr>
          <w:color w:val="auto"/>
        </w:rPr>
        <w:t>ons made by the mind from many sense impressions</w:t>
      </w:r>
      <w:r w:rsidR="009C2DCD">
        <w:rPr>
          <w:color w:val="auto"/>
        </w:rPr>
        <w:t>.</w:t>
      </w:r>
    </w:p>
    <w:p w:rsidR="006125F1" w:rsidRPr="00A5047F" w:rsidRDefault="006125F1" w:rsidP="00D960A7">
      <w:pPr>
        <w:spacing w:line="480" w:lineRule="auto"/>
        <w:ind w:firstLine="720"/>
      </w:pPr>
      <w:r>
        <w:t>Hume’s constructivism by projection leaves us with serious problems. S</w:t>
      </w:r>
      <w:r w:rsidRPr="003F5B28">
        <w:t xml:space="preserve">ince we cannot </w:t>
      </w:r>
      <w:r>
        <w:t>empirically know</w:t>
      </w:r>
      <w:r w:rsidRPr="003F5B28">
        <w:t xml:space="preserve"> the mind, </w:t>
      </w:r>
      <w:r>
        <w:t xml:space="preserve">or even custom, they too would seem to be </w:t>
      </w:r>
      <w:r w:rsidRPr="003F5B28">
        <w:t>projection</w:t>
      </w:r>
      <w:r>
        <w:t xml:space="preserve">s – but, of </w:t>
      </w:r>
      <w:r>
        <w:lastRenderedPageBreak/>
        <w:t>what? We seem t</w:t>
      </w:r>
      <w:r w:rsidRPr="003F5B28">
        <w:t xml:space="preserve">o </w:t>
      </w:r>
      <w:r>
        <w:t>face</w:t>
      </w:r>
      <w:r w:rsidR="00D745A5">
        <w:t xml:space="preserve"> an infinite regress, </w:t>
      </w:r>
      <w:r w:rsidRPr="003F5B28">
        <w:t xml:space="preserve">without </w:t>
      </w:r>
      <w:r>
        <w:t>an ability to arrive</w:t>
      </w:r>
      <w:r w:rsidRPr="003F5B28">
        <w:t xml:space="preserve"> at anything that is doing the projecting.</w:t>
      </w:r>
    </w:p>
    <w:p w:rsidR="00762381" w:rsidRPr="003C651C" w:rsidRDefault="00CE35C2" w:rsidP="007010D2">
      <w:pPr>
        <w:spacing w:line="480" w:lineRule="auto"/>
        <w:ind w:firstLine="720"/>
      </w:pPr>
      <w:r>
        <w:t>Kant</w:t>
      </w:r>
      <w:r w:rsidR="00367361">
        <w:t xml:space="preserve"> </w:t>
      </w:r>
      <w:r w:rsidR="00367361" w:rsidRPr="003F5B28">
        <w:t>(1724-1804)</w:t>
      </w:r>
      <w:r w:rsidR="00367361">
        <w:t xml:space="preserve"> </w:t>
      </w:r>
      <w:r>
        <w:t xml:space="preserve">combined </w:t>
      </w:r>
      <w:r w:rsidR="007C6071">
        <w:t>empiricist and rationalist elements,</w:t>
      </w:r>
      <w:r w:rsidR="002C2237">
        <w:t xml:space="preserve"> </w:t>
      </w:r>
      <w:r>
        <w:t>and he</w:t>
      </w:r>
      <w:r w:rsidR="00D745A5">
        <w:t xml:space="preserve"> </w:t>
      </w:r>
      <w:r w:rsidR="007C6071">
        <w:t>explore</w:t>
      </w:r>
      <w:r w:rsidR="00D745A5">
        <w:t>d</w:t>
      </w:r>
      <w:r w:rsidR="007C6071">
        <w:t xml:space="preserve"> </w:t>
      </w:r>
      <w:r w:rsidR="00762381">
        <w:t xml:space="preserve">the place for reason when </w:t>
      </w:r>
      <w:r w:rsidR="002C2237">
        <w:t>“all our k</w:t>
      </w:r>
      <w:r w:rsidR="00762381">
        <w:t>nowledge begins with experience,</w:t>
      </w:r>
      <w:r w:rsidR="002C2237">
        <w:t>”</w:t>
      </w:r>
      <w:r w:rsidR="00762381">
        <w:t xml:space="preserve"> and experience provides all the content of knowledge.</w:t>
      </w:r>
      <w:r w:rsidR="002C2237">
        <w:rPr>
          <w:rStyle w:val="FootnoteReference"/>
        </w:rPr>
        <w:footnoteReference w:id="8"/>
      </w:r>
      <w:r>
        <w:t xml:space="preserve"> </w:t>
      </w:r>
      <w:r w:rsidR="00D745A5">
        <w:t>Within those</w:t>
      </w:r>
      <w:r w:rsidR="003C651C">
        <w:t xml:space="preserve"> parameter</w:t>
      </w:r>
      <w:r w:rsidR="00D745A5">
        <w:t>s</w:t>
      </w:r>
      <w:r w:rsidR="003C651C">
        <w:t xml:space="preserve">, Kant still affirmed knowledge of certain </w:t>
      </w:r>
      <w:r w:rsidR="003C651C" w:rsidRPr="003F5B28">
        <w:rPr>
          <w:i/>
          <w:iCs/>
        </w:rPr>
        <w:t>a priori</w:t>
      </w:r>
      <w:r w:rsidR="003C651C" w:rsidRPr="003F5B28">
        <w:t xml:space="preserve"> </w:t>
      </w:r>
      <w:r w:rsidR="003C651C">
        <w:t>truths,</w:t>
      </w:r>
      <w:r w:rsidR="003C651C">
        <w:rPr>
          <w:rStyle w:val="FootnoteReference"/>
        </w:rPr>
        <w:footnoteReference w:id="9"/>
      </w:r>
      <w:r w:rsidR="003C651C">
        <w:t xml:space="preserve"> which are valid “absolutely independent of all experience.”</w:t>
      </w:r>
      <w:r w:rsidR="003C651C">
        <w:rPr>
          <w:rStyle w:val="FootnoteReference"/>
        </w:rPr>
        <w:footnoteReference w:id="10"/>
      </w:r>
      <w:r w:rsidR="003C651C">
        <w:t xml:space="preserve"> For him, r</w:t>
      </w:r>
      <w:r w:rsidR="00762381">
        <w:t xml:space="preserve">eason </w:t>
      </w:r>
      <w:r>
        <w:t>plays a</w:t>
      </w:r>
      <w:r w:rsidR="003C651C">
        <w:t xml:space="preserve"> key</w:t>
      </w:r>
      <w:r>
        <w:t xml:space="preserve"> role in that </w:t>
      </w:r>
      <w:r w:rsidR="00762381">
        <w:t>we can know some things about the conditions</w:t>
      </w:r>
      <w:r w:rsidR="007010D2">
        <w:t xml:space="preserve"> that make experience possible. </w:t>
      </w:r>
      <w:r w:rsidR="00762381">
        <w:t>First, to make sensat</w:t>
      </w:r>
      <w:r w:rsidR="00D745A5">
        <w:t>ion possible, the transcendent</w:t>
      </w:r>
      <w:r w:rsidR="00762381">
        <w:t xml:space="preserve"> mind provides the </w:t>
      </w:r>
      <w:r w:rsidR="00762381">
        <w:rPr>
          <w:i/>
        </w:rPr>
        <w:t>a priori</w:t>
      </w:r>
      <w:r w:rsidR="00762381">
        <w:t xml:space="preserve"> forms of intuition. </w:t>
      </w:r>
      <w:r w:rsidR="00D745A5">
        <w:t>Second</w:t>
      </w:r>
      <w:r w:rsidR="00762381">
        <w:t xml:space="preserve">, it provides the </w:t>
      </w:r>
      <w:r w:rsidR="00762381">
        <w:rPr>
          <w:i/>
        </w:rPr>
        <w:t>a priori</w:t>
      </w:r>
      <w:r>
        <w:t xml:space="preserve"> forms of understanding, which </w:t>
      </w:r>
      <w:r w:rsidR="00762381">
        <w:t>are universal and necessary concepts that structure experience.</w:t>
      </w:r>
      <w:r w:rsidR="00762381">
        <w:rPr>
          <w:rStyle w:val="FootnoteReference"/>
        </w:rPr>
        <w:footnoteReference w:id="11"/>
      </w:r>
    </w:p>
    <w:p w:rsidR="002C2237" w:rsidRDefault="00762381" w:rsidP="003C651C">
      <w:pPr>
        <w:spacing w:line="480" w:lineRule="auto"/>
        <w:ind w:firstLine="720"/>
      </w:pPr>
      <w:r w:rsidRPr="00CE35C2">
        <w:t>Kant pos</w:t>
      </w:r>
      <w:r w:rsidR="00CE35C2">
        <w:t>t</w:t>
      </w:r>
      <w:r w:rsidRPr="00CE35C2">
        <w:t xml:space="preserve">ulated </w:t>
      </w:r>
      <w:r w:rsidR="00CE35C2" w:rsidRPr="00CE35C2">
        <w:t xml:space="preserve">two </w:t>
      </w:r>
      <w:r w:rsidR="00CE35C2">
        <w:t xml:space="preserve">realms: </w:t>
      </w:r>
      <w:r w:rsidR="00366904">
        <w:t>the</w:t>
      </w:r>
      <w:r w:rsidR="00366904" w:rsidRPr="003F5B28">
        <w:t xml:space="preserve"> </w:t>
      </w:r>
      <w:r w:rsidR="00366904" w:rsidRPr="003F5B28">
        <w:rPr>
          <w:i/>
          <w:iCs/>
        </w:rPr>
        <w:t>phenomena</w:t>
      </w:r>
      <w:r w:rsidR="000824A9">
        <w:rPr>
          <w:i/>
          <w:iCs/>
        </w:rPr>
        <w:t>l realm</w:t>
      </w:r>
      <w:r w:rsidR="00366904">
        <w:rPr>
          <w:i/>
          <w:iCs/>
        </w:rPr>
        <w:t>,</w:t>
      </w:r>
      <w:r w:rsidR="00366904">
        <w:t xml:space="preserve"> </w:t>
      </w:r>
      <w:r w:rsidR="007010D2">
        <w:t>which is the realm</w:t>
      </w:r>
      <w:r w:rsidR="000824A9">
        <w:t xml:space="preserve"> </w:t>
      </w:r>
      <w:r w:rsidR="00366904">
        <w:t xml:space="preserve">we know by experience; and </w:t>
      </w:r>
      <w:r w:rsidR="002C2237" w:rsidRPr="003F5B28">
        <w:t xml:space="preserve">the </w:t>
      </w:r>
      <w:r w:rsidRPr="003F5B28">
        <w:rPr>
          <w:i/>
          <w:iCs/>
        </w:rPr>
        <w:t>noumena</w:t>
      </w:r>
      <w:r w:rsidR="00D84B5E">
        <w:rPr>
          <w:i/>
          <w:iCs/>
        </w:rPr>
        <w:t>l realm</w:t>
      </w:r>
      <w:r>
        <w:rPr>
          <w:i/>
          <w:iCs/>
        </w:rPr>
        <w:t>,</w:t>
      </w:r>
      <w:r w:rsidRPr="003F5B28">
        <w:t xml:space="preserve"> </w:t>
      </w:r>
      <w:r w:rsidR="00D84B5E">
        <w:t>which includes</w:t>
      </w:r>
      <w:r w:rsidR="002C2237" w:rsidRPr="003F5B28">
        <w:t xml:space="preserve"> things </w:t>
      </w:r>
      <w:r w:rsidR="00366904">
        <w:t xml:space="preserve">as they are </w:t>
      </w:r>
      <w:r w:rsidR="002C2237" w:rsidRPr="003F5B28">
        <w:t>in themselves</w:t>
      </w:r>
      <w:r w:rsidR="00366904">
        <w:t>.</w:t>
      </w:r>
      <w:r w:rsidR="002C2237">
        <w:rPr>
          <w:rStyle w:val="FootnoteReference"/>
        </w:rPr>
        <w:footnoteReference w:id="12"/>
      </w:r>
      <w:r w:rsidR="002C2237">
        <w:t xml:space="preserve"> </w:t>
      </w:r>
      <w:r w:rsidR="00CD3BFA">
        <w:t>Since all the contents of knowledge come by the senses, we have kn</w:t>
      </w:r>
      <w:r w:rsidR="00502349">
        <w:t>owledge of the phenomenal realm. However</w:t>
      </w:r>
      <w:r w:rsidR="00CD3BFA">
        <w:t xml:space="preserve">, we cannot </w:t>
      </w:r>
      <w:r w:rsidR="00CD3BFA" w:rsidRPr="00D84B5E">
        <w:rPr>
          <w:i/>
        </w:rPr>
        <w:t>know</w:t>
      </w:r>
      <w:r w:rsidR="00CD3BFA">
        <w:t xml:space="preserve"> the noumena</w:t>
      </w:r>
      <w:r w:rsidR="00D84B5E">
        <w:t xml:space="preserve"> as they truly are</w:t>
      </w:r>
      <w:r w:rsidR="003C651C">
        <w:t xml:space="preserve"> in themselves, but </w:t>
      </w:r>
      <w:r w:rsidR="003C651C" w:rsidRPr="003F5B28">
        <w:t>only as they appear</w:t>
      </w:r>
      <w:r w:rsidR="003C651C">
        <w:t xml:space="preserve"> to us.</w:t>
      </w:r>
      <w:r w:rsidR="00AC3F35">
        <w:rPr>
          <w:rStyle w:val="FootnoteReference"/>
        </w:rPr>
        <w:footnoteReference w:id="13"/>
      </w:r>
    </w:p>
    <w:p w:rsidR="00E67AF7" w:rsidRDefault="002C2237" w:rsidP="00A178DA">
      <w:pPr>
        <w:spacing w:line="480" w:lineRule="auto"/>
        <w:ind w:firstLine="720"/>
      </w:pPr>
      <w:r w:rsidRPr="003F5B28">
        <w:t>Kant reali</w:t>
      </w:r>
      <w:r w:rsidR="00BB039F">
        <w:t>zed</w:t>
      </w:r>
      <w:r>
        <w:t xml:space="preserve"> that </w:t>
      </w:r>
      <w:r w:rsidR="00A178DA">
        <w:t>on his empiricism, there are no knowable</w:t>
      </w:r>
      <w:r w:rsidRPr="003F5B28">
        <w:t xml:space="preserve"> </w:t>
      </w:r>
      <w:r w:rsidR="00A178DA">
        <w:t>features of our</w:t>
      </w:r>
      <w:r w:rsidR="00A178DA" w:rsidRPr="003F5B28">
        <w:t xml:space="preserve"> experiences </w:t>
      </w:r>
      <w:r w:rsidR="00A178DA">
        <w:t xml:space="preserve">that are universal and </w:t>
      </w:r>
      <w:r>
        <w:t xml:space="preserve">necessary; all </w:t>
      </w:r>
      <w:r w:rsidR="00A178DA">
        <w:t>empirical knowledge</w:t>
      </w:r>
      <w:r>
        <w:t xml:space="preserve"> i</w:t>
      </w:r>
      <w:r w:rsidR="00E43EC9">
        <w:t xml:space="preserve">s contingent. Therefore, he </w:t>
      </w:r>
      <w:r w:rsidR="00E3435F">
        <w:t xml:space="preserve">too </w:t>
      </w:r>
      <w:r>
        <w:t xml:space="preserve">seems to be a nominalist, </w:t>
      </w:r>
      <w:r w:rsidR="00D745A5">
        <w:t xml:space="preserve">and </w:t>
      </w:r>
      <w:r w:rsidR="00A178DA">
        <w:t>wit</w:t>
      </w:r>
      <w:r w:rsidR="00F66074">
        <w:t xml:space="preserve">hout a place for essences, too. </w:t>
      </w:r>
      <w:r w:rsidR="00E67AF7">
        <w:t>I</w:t>
      </w:r>
      <w:r w:rsidR="00E3435F">
        <w:t xml:space="preserve">f we consider the soul to be the essence </w:t>
      </w:r>
      <w:r w:rsidR="00E3435F">
        <w:lastRenderedPageBreak/>
        <w:t xml:space="preserve">of each human being, it belongs to the noumena, something </w:t>
      </w:r>
      <w:r w:rsidR="00E67AF7">
        <w:t xml:space="preserve">about which </w:t>
      </w:r>
      <w:r w:rsidR="00E3435F">
        <w:t xml:space="preserve">we have to act </w:t>
      </w:r>
      <w:r w:rsidR="00E3435F" w:rsidRPr="00E67AF7">
        <w:rPr>
          <w:i/>
        </w:rPr>
        <w:t>as if</w:t>
      </w:r>
      <w:r w:rsidR="00E3435F">
        <w:t xml:space="preserve"> it is real, in order to make ultimate sense of morality. </w:t>
      </w:r>
      <w:r w:rsidR="00E67AF7">
        <w:t>But</w:t>
      </w:r>
      <w:r w:rsidR="00D745A5">
        <w:t>,</w:t>
      </w:r>
      <w:r w:rsidR="00E67AF7">
        <w:t xml:space="preserve"> it is not an object of knowledge. </w:t>
      </w:r>
    </w:p>
    <w:p w:rsidR="004524EB" w:rsidRDefault="00E67AF7" w:rsidP="00155553">
      <w:pPr>
        <w:spacing w:line="480" w:lineRule="auto"/>
        <w:ind w:firstLine="720"/>
      </w:pPr>
      <w:r>
        <w:t>Moreover, w</w:t>
      </w:r>
      <w:r w:rsidR="002C2237" w:rsidRPr="003F5B28">
        <w:t>e each have our own discrete experiences</w:t>
      </w:r>
      <w:r w:rsidR="002C2237">
        <w:t>. H</w:t>
      </w:r>
      <w:r w:rsidR="002C2237" w:rsidRPr="003F5B28">
        <w:t xml:space="preserve">ow </w:t>
      </w:r>
      <w:r w:rsidR="002C2237">
        <w:t xml:space="preserve">then </w:t>
      </w:r>
      <w:r w:rsidR="002C2237" w:rsidRPr="003F5B28">
        <w:t xml:space="preserve">do we get a common world </w:t>
      </w:r>
      <w:r w:rsidR="00F66074">
        <w:t xml:space="preserve">with apparently universal qualities </w:t>
      </w:r>
      <w:r w:rsidR="002C2237" w:rsidRPr="003F5B28">
        <w:t>in which to live?</w:t>
      </w:r>
      <w:r>
        <w:t xml:space="preserve"> </w:t>
      </w:r>
      <w:r w:rsidR="00BB039F">
        <w:t>In his attempt to</w:t>
      </w:r>
      <w:r w:rsidR="002C2237">
        <w:t xml:space="preserve"> synthesize </w:t>
      </w:r>
      <w:r w:rsidR="00BB039F">
        <w:t xml:space="preserve">reason with </w:t>
      </w:r>
      <w:r w:rsidR="002C2237">
        <w:t>experience</w:t>
      </w:r>
      <w:r w:rsidR="00BB039F">
        <w:t>,</w:t>
      </w:r>
      <w:r w:rsidR="002C2237">
        <w:t xml:space="preserve"> </w:t>
      </w:r>
      <w:r w:rsidR="002C2237" w:rsidRPr="003F5B28">
        <w:t xml:space="preserve">Kant </w:t>
      </w:r>
      <w:r w:rsidR="00BB039F">
        <w:t>began with sensation</w:t>
      </w:r>
      <w:r w:rsidR="002C2237" w:rsidRPr="003F5B28">
        <w:t xml:space="preserve"> and discards unnecessary elements, leaving him with space and time</w:t>
      </w:r>
      <w:r w:rsidR="002C2237">
        <w:t xml:space="preserve">. </w:t>
      </w:r>
      <w:r w:rsidR="002C2237" w:rsidRPr="003F5B28">
        <w:t>Then</w:t>
      </w:r>
      <w:r w:rsidR="00BB039F">
        <w:t>,</w:t>
      </w:r>
      <w:r w:rsidR="002C2237" w:rsidRPr="003F5B28">
        <w:t xml:space="preserve"> he </w:t>
      </w:r>
      <w:r w:rsidR="00BB039F">
        <w:t>considered</w:t>
      </w:r>
      <w:r w:rsidR="002C2237" w:rsidRPr="003F5B28">
        <w:t xml:space="preserve"> universal and necessary conditions for the possibilities of </w:t>
      </w:r>
      <w:r w:rsidR="00BB039F">
        <w:t>having a</w:t>
      </w:r>
      <w:r w:rsidR="002C2237" w:rsidRPr="003F5B28">
        <w:t xml:space="preserve"> sensation</w:t>
      </w:r>
      <w:r w:rsidR="002C2237">
        <w:t xml:space="preserve">. </w:t>
      </w:r>
      <w:r w:rsidR="00BB039F">
        <w:t>Kant utilized</w:t>
      </w:r>
      <w:r w:rsidR="002C2237" w:rsidRPr="003F5B28">
        <w:t xml:space="preserve"> </w:t>
      </w:r>
      <w:r w:rsidR="00BB039F">
        <w:t xml:space="preserve">what he called </w:t>
      </w:r>
      <w:r w:rsidR="002C2237" w:rsidRPr="003F5B28">
        <w:t xml:space="preserve">the </w:t>
      </w:r>
      <w:r w:rsidR="002C2237" w:rsidRPr="00BB039F">
        <w:rPr>
          <w:iCs/>
        </w:rPr>
        <w:t>categories</w:t>
      </w:r>
      <w:r w:rsidR="002C2237" w:rsidRPr="003F5B28">
        <w:t xml:space="preserve">, </w:t>
      </w:r>
      <w:r w:rsidR="00BB039F">
        <w:t>i.e.,</w:t>
      </w:r>
      <w:r w:rsidR="002C2237" w:rsidRPr="003F5B28">
        <w:t xml:space="preserve"> the </w:t>
      </w:r>
      <w:r w:rsidR="002C2237" w:rsidRPr="00BB039F">
        <w:rPr>
          <w:iCs/>
        </w:rPr>
        <w:t xml:space="preserve">universal and necessary conditions for the </w:t>
      </w:r>
      <w:r w:rsidR="00BB039F" w:rsidRPr="00BB039F">
        <w:rPr>
          <w:i/>
          <w:iCs/>
        </w:rPr>
        <w:t xml:space="preserve">one </w:t>
      </w:r>
      <w:r w:rsidR="002C2237" w:rsidRPr="00BB039F">
        <w:rPr>
          <w:iCs/>
        </w:rPr>
        <w:t>understanding</w:t>
      </w:r>
      <w:r w:rsidR="002C2237">
        <w:t>.</w:t>
      </w:r>
      <w:r w:rsidR="002C2237">
        <w:rPr>
          <w:rStyle w:val="FootnoteReference"/>
        </w:rPr>
        <w:footnoteReference w:id="14"/>
      </w:r>
      <w:r w:rsidR="002C2237">
        <w:t xml:space="preserve"> The</w:t>
      </w:r>
      <w:r w:rsidR="002C2237" w:rsidRPr="003F5B28">
        <w:t xml:space="preserve"> </w:t>
      </w:r>
      <w:r w:rsidR="002C2237" w:rsidRPr="00BB039F">
        <w:rPr>
          <w:iCs/>
        </w:rPr>
        <w:t>transcendent mind</w:t>
      </w:r>
      <w:r w:rsidR="00BB039F">
        <w:t>, or ego</w:t>
      </w:r>
      <w:r w:rsidR="002C2237" w:rsidRPr="003F5B28">
        <w:t xml:space="preserve">, </w:t>
      </w:r>
      <w:r w:rsidR="00BB039F">
        <w:t xml:space="preserve">uses our sensory input and </w:t>
      </w:r>
      <w:r w:rsidR="002C2237" w:rsidRPr="003F5B28">
        <w:t>constructs in each of us a common, “objective” world</w:t>
      </w:r>
      <w:r w:rsidR="00C90850">
        <w:t xml:space="preserve"> that we each can know</w:t>
      </w:r>
      <w:r w:rsidR="002C2237">
        <w:t>.</w:t>
      </w:r>
      <w:r w:rsidR="002C2237">
        <w:rPr>
          <w:rStyle w:val="FootnoteReference"/>
        </w:rPr>
        <w:footnoteReference w:id="15"/>
      </w:r>
      <w:r w:rsidR="00155553">
        <w:t xml:space="preserve"> </w:t>
      </w:r>
      <w:r w:rsidR="001409A9">
        <w:t xml:space="preserve">But it is not a world with a realist’s kind of </w:t>
      </w:r>
      <w:r w:rsidR="00D745A5" w:rsidRPr="003F5B28">
        <w:t>objective</w:t>
      </w:r>
      <w:r w:rsidR="00D745A5">
        <w:t xml:space="preserve"> </w:t>
      </w:r>
      <w:r w:rsidR="001409A9">
        <w:t xml:space="preserve">properties. </w:t>
      </w:r>
      <w:r w:rsidR="004524EB">
        <w:t>So Kant’s form of constructivism is a transcendental form of making determinate of what is indetermina</w:t>
      </w:r>
      <w:r w:rsidR="00155553">
        <w:t xml:space="preserve">te in itself (the noumena). </w:t>
      </w:r>
    </w:p>
    <w:p w:rsidR="00D960A7" w:rsidRDefault="00D745A5" w:rsidP="00155553">
      <w:pPr>
        <w:spacing w:line="480" w:lineRule="auto"/>
        <w:ind w:firstLine="720"/>
      </w:pPr>
      <w:r>
        <w:t xml:space="preserve">Like </w:t>
      </w:r>
      <w:r w:rsidR="00D960A7">
        <w:t xml:space="preserve">Hume’s construction by projection, Kant’s transcendental constructivism likewise poses serious problems for knowledge. </w:t>
      </w:r>
      <w:r w:rsidR="004D4123">
        <w:t xml:space="preserve">If we cannot know things in themselves, but only </w:t>
      </w:r>
      <w:r>
        <w:t>as they appear to us, then</w:t>
      </w:r>
      <w:r w:rsidR="004D4123">
        <w:t xml:space="preserve"> we seem to face an infinite regress without a way to start to have knowledge. </w:t>
      </w:r>
      <w:r w:rsidR="00B92C55">
        <w:t xml:space="preserve">Take some appearance A; </w:t>
      </w:r>
      <w:r w:rsidR="00466E92" w:rsidRPr="00466E92">
        <w:t xml:space="preserve">I cannot know A as it is in itself, for </w:t>
      </w:r>
      <w:r w:rsidR="00B92C55" w:rsidRPr="00466E92">
        <w:t xml:space="preserve">I only know </w:t>
      </w:r>
      <w:r w:rsidR="00466E92" w:rsidRPr="00466E92">
        <w:t>A as it appears to me (A</w:t>
      </w:r>
      <w:r w:rsidR="00B92C55" w:rsidRPr="00466E92">
        <w:rPr>
          <w:vertAlign w:val="subscript"/>
        </w:rPr>
        <w:t>1</w:t>
      </w:r>
      <w:r w:rsidR="00B92C55" w:rsidRPr="00466E92">
        <w:t xml:space="preserve">). </w:t>
      </w:r>
      <w:r w:rsidR="00466E92" w:rsidRPr="00466E92">
        <w:t>Now the process repeats:</w:t>
      </w:r>
      <w:r w:rsidR="00B92C55" w:rsidRPr="00466E92">
        <w:t xml:space="preserve"> I can</w:t>
      </w:r>
      <w:r w:rsidR="00466E92" w:rsidRPr="00466E92">
        <w:t>not know A</w:t>
      </w:r>
      <w:r w:rsidR="00B92C55" w:rsidRPr="00466E92">
        <w:rPr>
          <w:vertAlign w:val="subscript"/>
        </w:rPr>
        <w:t>1</w:t>
      </w:r>
      <w:r w:rsidR="00B92C55" w:rsidRPr="00466E92">
        <w:t xml:space="preserve"> as it truly is; I can onl</w:t>
      </w:r>
      <w:r w:rsidR="00466E92" w:rsidRPr="00466E92">
        <w:t>y know it as it appears to me (A</w:t>
      </w:r>
      <w:r w:rsidR="00B92C55" w:rsidRPr="00466E92">
        <w:rPr>
          <w:vertAlign w:val="subscript"/>
        </w:rPr>
        <w:t>2</w:t>
      </w:r>
      <w:r w:rsidR="00B92C55" w:rsidRPr="00466E92">
        <w:t xml:space="preserve">). </w:t>
      </w:r>
      <w:r w:rsidR="00466E92" w:rsidRPr="00466E92">
        <w:t>T</w:t>
      </w:r>
      <w:r w:rsidR="00B92C55" w:rsidRPr="00466E92">
        <w:t xml:space="preserve">he same </w:t>
      </w:r>
      <w:r w:rsidR="00466E92" w:rsidRPr="00466E92">
        <w:t>problem</w:t>
      </w:r>
      <w:r w:rsidR="00B92C55" w:rsidRPr="00466E92">
        <w:t xml:space="preserve"> </w:t>
      </w:r>
      <w:r w:rsidR="00466E92" w:rsidRPr="00466E92">
        <w:t>recurs with A</w:t>
      </w:r>
      <w:r w:rsidR="00B92C55" w:rsidRPr="00466E92">
        <w:rPr>
          <w:vertAlign w:val="subscript"/>
        </w:rPr>
        <w:t>2</w:t>
      </w:r>
      <w:r w:rsidR="00466E92" w:rsidRPr="00466E92">
        <w:t>, A</w:t>
      </w:r>
      <w:r w:rsidR="00B92C55" w:rsidRPr="00466E92">
        <w:rPr>
          <w:vertAlign w:val="subscript"/>
        </w:rPr>
        <w:t>3</w:t>
      </w:r>
      <w:r w:rsidR="00B92C55" w:rsidRPr="00466E92">
        <w:t xml:space="preserve">, </w:t>
      </w:r>
      <w:r w:rsidR="00466E92" w:rsidRPr="00466E92">
        <w:t xml:space="preserve">and </w:t>
      </w:r>
      <w:r w:rsidR="00B92C55" w:rsidRPr="00466E92">
        <w:t>to infinity, such that i</w:t>
      </w:r>
      <w:r w:rsidR="00466E92" w:rsidRPr="00466E92">
        <w:t>t seems we cannot get started to know</w:t>
      </w:r>
      <w:r w:rsidR="00B92C55" w:rsidRPr="00466E92">
        <w:t xml:space="preserve"> anything empirically.</w:t>
      </w:r>
    </w:p>
    <w:p w:rsidR="00E04740" w:rsidRDefault="0027011E" w:rsidP="00367A7C">
      <w:pPr>
        <w:pStyle w:val="BodyText"/>
        <w:spacing w:line="480" w:lineRule="auto"/>
        <w:ind w:firstLine="720"/>
      </w:pPr>
      <w:r>
        <w:t>In reacti</w:t>
      </w:r>
      <w:r w:rsidR="00367A7C">
        <w:t xml:space="preserve">on, </w:t>
      </w:r>
      <w:r w:rsidR="009D0932">
        <w:t>Nietzsche</w:t>
      </w:r>
      <w:r>
        <w:t xml:space="preserve"> (1844-1900) </w:t>
      </w:r>
      <w:r w:rsidR="0059436F">
        <w:t>sharply criticized</w:t>
      </w:r>
      <w:r w:rsidR="00367A7C">
        <w:t xml:space="preserve"> Kant and </w:t>
      </w:r>
      <w:r w:rsidR="00367A7C" w:rsidRPr="00F910F6">
        <w:t xml:space="preserve">attempted to move constructionism </w:t>
      </w:r>
      <w:r w:rsidR="00367A7C">
        <w:t xml:space="preserve">to the conscious realm. Moreover, he </w:t>
      </w:r>
      <w:r w:rsidR="00367A7C" w:rsidRPr="00F910F6">
        <w:t xml:space="preserve">denied that </w:t>
      </w:r>
      <w:r w:rsidR="00367A7C">
        <w:t xml:space="preserve">reality has </w:t>
      </w:r>
      <w:r w:rsidR="00367A7C" w:rsidRPr="00F910F6">
        <w:t>any general character</w:t>
      </w:r>
      <w:r w:rsidR="00367A7C">
        <w:t xml:space="preserve">. Like Hume and (later) </w:t>
      </w:r>
      <w:r w:rsidR="00367A7C" w:rsidRPr="00F910F6">
        <w:t xml:space="preserve">Derrida, Nietzsche </w:t>
      </w:r>
      <w:r w:rsidR="00367A7C">
        <w:t>denied</w:t>
      </w:r>
      <w:r w:rsidR="00367A7C" w:rsidRPr="00F910F6">
        <w:t xml:space="preserve"> </w:t>
      </w:r>
      <w:r w:rsidR="00367A7C">
        <w:t>the reality of any numerical</w:t>
      </w:r>
      <w:r w:rsidR="00367A7C" w:rsidRPr="00F910F6">
        <w:t xml:space="preserve"> </w:t>
      </w:r>
      <w:r w:rsidR="00367A7C" w:rsidRPr="00F910F6">
        <w:lastRenderedPageBreak/>
        <w:t>identities.</w:t>
      </w:r>
      <w:r w:rsidR="00367A7C" w:rsidRPr="00F910F6">
        <w:rPr>
          <w:rStyle w:val="FootnoteReference"/>
        </w:rPr>
        <w:footnoteReference w:id="16"/>
      </w:r>
      <w:r w:rsidR="00367A7C">
        <w:t xml:space="preserve"> </w:t>
      </w:r>
      <w:r w:rsidR="00367A7C" w:rsidRPr="00F910F6">
        <w:t xml:space="preserve">Rather, we construct things by taking them to be identical, </w:t>
      </w:r>
      <w:r w:rsidR="00367A7C">
        <w:t xml:space="preserve">but in reality they are only similar. Thus, there cannot be any real universals; everything is particular. </w:t>
      </w:r>
      <w:r w:rsidR="00E04740">
        <w:t>Nor are t</w:t>
      </w:r>
      <w:r w:rsidR="00367A7C" w:rsidRPr="00F910F6">
        <w:t xml:space="preserve">here </w:t>
      </w:r>
      <w:r w:rsidR="00E04740">
        <w:t>any</w:t>
      </w:r>
      <w:r w:rsidR="00367A7C" w:rsidRPr="00F910F6">
        <w:t xml:space="preserve"> enduring substances, </w:t>
      </w:r>
      <w:r w:rsidR="00E04740">
        <w:t>such as souls</w:t>
      </w:r>
      <w:r w:rsidR="00116219">
        <w:t xml:space="preserve"> and individuated essences</w:t>
      </w:r>
      <w:r w:rsidR="00E04740">
        <w:t xml:space="preserve"> (he was a naturalist)</w:t>
      </w:r>
      <w:r w:rsidR="00784DA6">
        <w:t>.</w:t>
      </w:r>
      <w:r w:rsidR="00E04740">
        <w:t xml:space="preserve"> </w:t>
      </w:r>
      <w:r w:rsidR="00784DA6">
        <w:t>Furthermore,</w:t>
      </w:r>
      <w:r w:rsidR="00367A7C" w:rsidRPr="00F910F6">
        <w:t xml:space="preserve"> things like “cause, sequence, reciprocity, relativity, constraint, number, law, freedom, motive, and purpose” are all notions we have devised.</w:t>
      </w:r>
      <w:r w:rsidR="00367A7C" w:rsidRPr="00F910F6">
        <w:rPr>
          <w:rStyle w:val="FootnoteReference"/>
        </w:rPr>
        <w:footnoteReference w:id="17"/>
      </w:r>
      <w:r w:rsidR="00367A7C">
        <w:t xml:space="preserve"> </w:t>
      </w:r>
      <w:r w:rsidR="00E04740">
        <w:t>T</w:t>
      </w:r>
      <w:r w:rsidR="00367A7C" w:rsidRPr="00F910F6">
        <w:t xml:space="preserve">here </w:t>
      </w:r>
      <w:r w:rsidR="00E04740">
        <w:t xml:space="preserve">are not even any </w:t>
      </w:r>
      <w:r w:rsidR="00367A7C" w:rsidRPr="00F910F6">
        <w:t xml:space="preserve">truths of reason, </w:t>
      </w:r>
      <w:r w:rsidR="00E04740">
        <w:t xml:space="preserve">truths </w:t>
      </w:r>
      <w:r w:rsidR="00367A7C" w:rsidRPr="00F910F6">
        <w:t xml:space="preserve">due to how the world actually is </w:t>
      </w:r>
      <w:r w:rsidR="00E04740">
        <w:t>(i.e., Nietzsche rejected Kant’s</w:t>
      </w:r>
      <w:r w:rsidR="00367A7C" w:rsidRPr="00F910F6">
        <w:t xml:space="preserve"> synthetic a priori judgments).</w:t>
      </w:r>
      <w:r w:rsidR="00367A7C" w:rsidRPr="00F910F6">
        <w:rPr>
          <w:rStyle w:val="FootnoteReference"/>
        </w:rPr>
        <w:footnoteReference w:id="18"/>
      </w:r>
    </w:p>
    <w:p w:rsidR="00367A7C" w:rsidRPr="00F910F6" w:rsidRDefault="00784DA6" w:rsidP="00E36D52">
      <w:pPr>
        <w:pStyle w:val="BodyText"/>
        <w:spacing w:line="480" w:lineRule="auto"/>
        <w:ind w:firstLine="720"/>
      </w:pPr>
      <w:r>
        <w:t>As a precursor to the linguistic turn, Nietzsche introduced a role for language.</w:t>
      </w:r>
      <w:r w:rsidR="00367A7C" w:rsidRPr="00F910F6">
        <w:t xml:space="preserve"> </w:t>
      </w:r>
      <w:r>
        <w:t xml:space="preserve">For him, </w:t>
      </w:r>
      <w:r w:rsidR="00367A7C" w:rsidRPr="00F910F6">
        <w:t xml:space="preserve">the will, being-in-itself, and so on are </w:t>
      </w:r>
      <w:r w:rsidR="00367A7C" w:rsidRPr="00784DA6">
        <w:t>words</w:t>
      </w:r>
      <w:r w:rsidR="00367A7C">
        <w:t xml:space="preserve">. </w:t>
      </w:r>
      <w:r>
        <w:t>E</w:t>
      </w:r>
      <w:r w:rsidR="00367A7C" w:rsidRPr="00F910F6">
        <w:t xml:space="preserve">ven </w:t>
      </w:r>
      <w:r>
        <w:t xml:space="preserve">the seemingly self-evident truth </w:t>
      </w:r>
      <w:r w:rsidR="00367A7C" w:rsidRPr="00F910F6">
        <w:t xml:space="preserve">that we </w:t>
      </w:r>
      <w:r>
        <w:t xml:space="preserve">each </w:t>
      </w:r>
      <w:r w:rsidR="00367A7C" w:rsidRPr="00F910F6">
        <w:t xml:space="preserve">are subjects of our </w:t>
      </w:r>
      <w:r>
        <w:t xml:space="preserve">own </w:t>
      </w:r>
      <w:r w:rsidR="00367A7C" w:rsidRPr="00F910F6">
        <w:t xml:space="preserve">thoughts is </w:t>
      </w:r>
      <w:r w:rsidR="00367A7C">
        <w:t xml:space="preserve">not simply a given. </w:t>
      </w:r>
      <w:r>
        <w:t xml:space="preserve">For him, that there is a self </w:t>
      </w:r>
      <w:r w:rsidR="00367A7C" w:rsidRPr="00F910F6">
        <w:t xml:space="preserve">“contains an </w:t>
      </w:r>
      <w:r w:rsidR="00367A7C" w:rsidRPr="00F910F6">
        <w:rPr>
          <w:i/>
        </w:rPr>
        <w:t>interpretation</w:t>
      </w:r>
      <w:r w:rsidR="00367A7C" w:rsidRPr="00F910F6">
        <w:t xml:space="preserve"> of the process, and does not</w:t>
      </w:r>
      <w:r w:rsidR="00367A7C">
        <w:t xml:space="preserve"> belong to the process itself. </w:t>
      </w:r>
      <w:r w:rsidR="00367A7C" w:rsidRPr="00F910F6">
        <w:t xml:space="preserve">One infers here according to the usual </w:t>
      </w:r>
      <w:r w:rsidR="00367A7C" w:rsidRPr="00F910F6">
        <w:rPr>
          <w:i/>
        </w:rPr>
        <w:t>grammatical</w:t>
      </w:r>
      <w:r w:rsidR="00367A7C" w:rsidRPr="00F910F6">
        <w:t xml:space="preserve"> formula.”</w:t>
      </w:r>
      <w:r w:rsidR="00367A7C" w:rsidRPr="00F910F6">
        <w:rPr>
          <w:rStyle w:val="FootnoteReference"/>
        </w:rPr>
        <w:footnoteReference w:id="19"/>
      </w:r>
      <w:r w:rsidR="00367A7C">
        <w:t xml:space="preserve"> </w:t>
      </w:r>
      <w:r>
        <w:t xml:space="preserve">The ways we have been taught to use words deceive us to think such things are real. </w:t>
      </w:r>
      <w:r w:rsidR="00367A7C" w:rsidRPr="00F910F6">
        <w:t>What lies be</w:t>
      </w:r>
      <w:r w:rsidR="00E36D52">
        <w:t>hind such philosophical views “</w:t>
      </w:r>
      <w:r w:rsidR="00367A7C" w:rsidRPr="00F910F6">
        <w:t xml:space="preserve">is this tyrannical impulse itself; the most spiritual Will to Power, the will to ‘creation of the world,’ the will to the </w:t>
      </w:r>
      <w:r w:rsidR="00367A7C" w:rsidRPr="00F910F6">
        <w:rPr>
          <w:i/>
        </w:rPr>
        <w:t>causa prima</w:t>
      </w:r>
      <w:r w:rsidR="00367A7C" w:rsidRPr="00F910F6">
        <w:t xml:space="preserve"> …”</w:t>
      </w:r>
      <w:r w:rsidR="00367A7C" w:rsidRPr="00F910F6">
        <w:rPr>
          <w:rStyle w:val="FootnoteReference"/>
        </w:rPr>
        <w:footnoteReference w:id="20"/>
      </w:r>
    </w:p>
    <w:p w:rsidR="00D160B4" w:rsidRDefault="001F409E" w:rsidP="005C3B47">
      <w:pPr>
        <w:pStyle w:val="BodyText"/>
        <w:spacing w:line="480" w:lineRule="auto"/>
        <w:ind w:firstLine="720"/>
      </w:pPr>
      <w:r>
        <w:t>Moreover, for him, knowledge is perspectival.</w:t>
      </w:r>
      <w:r w:rsidR="00367A7C" w:rsidRPr="00F910F6">
        <w:t xml:space="preserve"> </w:t>
      </w:r>
      <w:r>
        <w:t xml:space="preserve">What we think </w:t>
      </w:r>
      <w:r w:rsidR="00367A7C" w:rsidRPr="00F910F6">
        <w:t>reflects the provisional “nature” of all knowledge</w:t>
      </w:r>
      <w:r>
        <w:t>. U</w:t>
      </w:r>
      <w:r w:rsidR="00367A7C">
        <w:t>niversal truth</w:t>
      </w:r>
      <w:r>
        <w:t>s</w:t>
      </w:r>
      <w:r w:rsidR="00367A7C">
        <w:t xml:space="preserve"> </w:t>
      </w:r>
      <w:r>
        <w:t xml:space="preserve">are not possible because </w:t>
      </w:r>
      <w:r w:rsidR="00367A7C">
        <w:t xml:space="preserve">no universals exist metaphysically. </w:t>
      </w:r>
      <w:r>
        <w:t>O</w:t>
      </w:r>
      <w:r w:rsidRPr="00F910F6">
        <w:t>ur notions of souls, bei</w:t>
      </w:r>
      <w:r>
        <w:t>ng-in-itself, etc., just reflect</w:t>
      </w:r>
      <w:r w:rsidRPr="00F910F6">
        <w:t xml:space="preserve"> “our artificial (though convenient) </w:t>
      </w:r>
      <w:r w:rsidRPr="00F910F6">
        <w:rPr>
          <w:i/>
        </w:rPr>
        <w:t>linguistic-conceptual shorthand</w:t>
      </w:r>
      <w:r w:rsidRPr="00F910F6">
        <w:t xml:space="preserve"> for functionally unitary products, processes, and sets of relations.”</w:t>
      </w:r>
      <w:r w:rsidRPr="00F910F6">
        <w:rPr>
          <w:rStyle w:val="FootnoteReference"/>
        </w:rPr>
        <w:footnoteReference w:id="21"/>
      </w:r>
    </w:p>
    <w:p w:rsidR="00367A7C" w:rsidRDefault="00902BAB" w:rsidP="00E31A11">
      <w:pPr>
        <w:spacing w:line="480" w:lineRule="auto"/>
        <w:ind w:firstLine="720"/>
      </w:pPr>
      <w:r>
        <w:lastRenderedPageBreak/>
        <w:t xml:space="preserve">Nietzsche’s </w:t>
      </w:r>
      <w:r w:rsidR="00E31A11">
        <w:t xml:space="preserve">sympathy for a linguistic focus helps illustrate a growing dissatisfaction with empiricism and sense data to be able to make good on our </w:t>
      </w:r>
      <w:r w:rsidR="00D160B4">
        <w:t xml:space="preserve">various </w:t>
      </w:r>
      <w:r w:rsidR="00E31A11">
        <w:t>knowledge claims. The result was the turn to language</w:t>
      </w:r>
      <w:r w:rsidR="00D745A5">
        <w:t xml:space="preserve">, for it seemed language is a datum that is </w:t>
      </w:r>
      <w:r w:rsidR="00D160B4">
        <w:t xml:space="preserve">determinate </w:t>
      </w:r>
      <w:r w:rsidR="00D745A5">
        <w:t>which we can</w:t>
      </w:r>
      <w:r w:rsidR="00E31A11">
        <w:t xml:space="preserve"> observe, and we </w:t>
      </w:r>
      <w:r w:rsidR="00495304">
        <w:t>do in fact</w:t>
      </w:r>
      <w:r w:rsidR="00E31A11">
        <w:t xml:space="preserve"> talk about many things, whether morals, religion, politics, philosophy, sports, fashions, or other topics.</w:t>
      </w:r>
      <w:r w:rsidR="00FD03B9">
        <w:t xml:space="preserve"> </w:t>
      </w:r>
      <w:r w:rsidR="00D160B4">
        <w:t xml:space="preserve">Moreover, the fact that we do talk, and can talk together, made language an attractive candidate that would not be subject to the metaphysical (and resultant epistemological) issues that seemed to plague appeals to ideas and sense experiences. </w:t>
      </w:r>
      <w:r w:rsidR="00FD03B9">
        <w:t>N</w:t>
      </w:r>
      <w:r w:rsidR="009560B0">
        <w:t xml:space="preserve">ow the focal point of our knowledge claims would shift from how our ideas or sense experiences could be </w:t>
      </w:r>
      <w:r w:rsidR="001B7D90">
        <w:t>about</w:t>
      </w:r>
      <w:r w:rsidR="009560B0">
        <w:t xml:space="preserve"> reality, to how our words could do that.</w:t>
      </w:r>
      <w:r w:rsidR="00202C83">
        <w:rPr>
          <w:rStyle w:val="FootnoteReference"/>
        </w:rPr>
        <w:footnoteReference w:id="22"/>
      </w:r>
    </w:p>
    <w:p w:rsidR="006618D7" w:rsidRPr="00F910F6" w:rsidRDefault="009D14D0" w:rsidP="006618D7">
      <w:pPr>
        <w:pStyle w:val="BodyText"/>
        <w:spacing w:line="480" w:lineRule="auto"/>
        <w:ind w:firstLine="720"/>
      </w:pPr>
      <w:r>
        <w:t>T</w:t>
      </w:r>
      <w:r w:rsidR="006618D7">
        <w:t>he logical positivists</w:t>
      </w:r>
      <w:r w:rsidR="001B7D90">
        <w:t xml:space="preserve">, such as A.J. Ayer </w:t>
      </w:r>
      <w:r w:rsidR="001B7D90" w:rsidRPr="006A0029">
        <w:t>(1910-1989)</w:t>
      </w:r>
      <w:r w:rsidR="001B7D90">
        <w:t xml:space="preserve">, Bertrand Russell </w:t>
      </w:r>
      <w:r w:rsidR="001B7D90" w:rsidRPr="006A0029">
        <w:t>(1872-1970)</w:t>
      </w:r>
      <w:r w:rsidR="001B7D90">
        <w:t>, Rudolf Carnap (1891-1970), and Ernst Mach (1838-1916),</w:t>
      </w:r>
      <w:r w:rsidR="006618D7">
        <w:t xml:space="preserve"> </w:t>
      </w:r>
      <w:r>
        <w:t xml:space="preserve">made just such a move. While they varied somewhat in their views, they still were united by their commitment to naturalism. For </w:t>
      </w:r>
      <w:r w:rsidR="006618D7">
        <w:t>Russell</w:t>
      </w:r>
      <w:r>
        <w:t>,</w:t>
      </w:r>
      <w:r w:rsidR="006618D7">
        <w:t xml:space="preserve"> </w:t>
      </w:r>
      <w:r>
        <w:t>a logical atomist, constructivism belonged to the conscious realm.</w:t>
      </w:r>
      <w:r w:rsidR="001B7D90">
        <w:t xml:space="preserve"> He</w:t>
      </w:r>
      <w:r w:rsidR="006618D7" w:rsidRPr="00F910F6">
        <w:t xml:space="preserve"> </w:t>
      </w:r>
      <w:r>
        <w:t xml:space="preserve">agreed with Hume that </w:t>
      </w:r>
      <w:r w:rsidR="006618D7" w:rsidRPr="00F910F6">
        <w:t>all that seems to exist in the empirical world (tables, books</w:t>
      </w:r>
      <w:r w:rsidR="00E03B28">
        <w:t>, etc.</w:t>
      </w:r>
      <w:r w:rsidR="006618D7" w:rsidRPr="00F910F6">
        <w:t xml:space="preserve">) are just fictions, but </w:t>
      </w:r>
      <w:r>
        <w:t xml:space="preserve">he differed by holding that these </w:t>
      </w:r>
      <w:r w:rsidR="006618D7" w:rsidRPr="00F910F6">
        <w:t xml:space="preserve">are logical constructs, logical fictions formed by the operation of a </w:t>
      </w:r>
      <w:r w:rsidR="006618D7" w:rsidRPr="00F910F6">
        <w:rPr>
          <w:i/>
        </w:rPr>
        <w:t>formal</w:t>
      </w:r>
      <w:r w:rsidR="006618D7" w:rsidRPr="00F910F6">
        <w:t xml:space="preserve"> language composed of logical operators, such as and, or, if – then and so on. </w:t>
      </w:r>
    </w:p>
    <w:p w:rsidR="000D34E5" w:rsidRDefault="009D14D0" w:rsidP="000D34E5">
      <w:pPr>
        <w:spacing w:line="480" w:lineRule="auto"/>
        <w:ind w:firstLine="720"/>
      </w:pPr>
      <w:r>
        <w:t xml:space="preserve">In their focus upon the workings of language, </w:t>
      </w:r>
      <w:r w:rsidR="006618D7">
        <w:t>the logical positivists</w:t>
      </w:r>
      <w:r>
        <w:t xml:space="preserve"> stressed</w:t>
      </w:r>
      <w:r w:rsidR="006618D7">
        <w:t xml:space="preserve"> </w:t>
      </w:r>
      <w:r>
        <w:t>the</w:t>
      </w:r>
      <w:r w:rsidR="006618D7">
        <w:t xml:space="preserve"> veri</w:t>
      </w:r>
      <w:r>
        <w:t xml:space="preserve">fiability criterion of meaning: </w:t>
      </w:r>
      <w:r w:rsidR="006618D7">
        <w:t>a sentence</w:t>
      </w:r>
      <w:r>
        <w:t xml:space="preserve"> i</w:t>
      </w:r>
      <w:r w:rsidR="006618D7">
        <w:t>s meaningful if and only if it was empirically verifiable.</w:t>
      </w:r>
      <w:r w:rsidR="006618D7">
        <w:rPr>
          <w:rStyle w:val="FootnoteReference"/>
        </w:rPr>
        <w:footnoteReference w:id="23"/>
      </w:r>
      <w:r w:rsidR="006618D7">
        <w:t xml:space="preserve"> </w:t>
      </w:r>
      <w:r>
        <w:t>So, t</w:t>
      </w:r>
      <w:r w:rsidR="006618D7">
        <w:t xml:space="preserve">he meaning of a sentence was not </w:t>
      </w:r>
      <w:r>
        <w:t>a matter of</w:t>
      </w:r>
      <w:r w:rsidR="006618D7">
        <w:t xml:space="preserve"> the </w:t>
      </w:r>
      <w:r>
        <w:t xml:space="preserve">intentions of its speaker and what that person “had in mind,” for that suggests an immaterial mental state that could be </w:t>
      </w:r>
      <w:r>
        <w:lastRenderedPageBreak/>
        <w:t xml:space="preserve">shareable. Instead, </w:t>
      </w:r>
      <w:r w:rsidR="006618D7">
        <w:t>meaning</w:t>
      </w:r>
      <w:r>
        <w:t>s</w:t>
      </w:r>
      <w:r w:rsidR="0024325C">
        <w:t xml:space="preserve"> had to</w:t>
      </w:r>
      <w:r w:rsidR="006618D7">
        <w:t xml:space="preserve"> fit within the empirical methodology</w:t>
      </w:r>
      <w:r w:rsidR="0024325C">
        <w:t xml:space="preserve"> of the natural sciences, and the most likely candidate seemed to be behaviors, whether verbal or nonverbal, which science could study</w:t>
      </w:r>
      <w:r w:rsidR="006618D7">
        <w:t xml:space="preserve">. Without </w:t>
      </w:r>
      <w:r w:rsidR="0024325C">
        <w:t xml:space="preserve">real </w:t>
      </w:r>
      <w:r w:rsidR="006618D7">
        <w:t xml:space="preserve">universals, language </w:t>
      </w:r>
      <w:r w:rsidR="0024325C">
        <w:t xml:space="preserve">had to be limited to empirically verifiable word tokens, and </w:t>
      </w:r>
      <w:r w:rsidR="006618D7">
        <w:t xml:space="preserve">not word </w:t>
      </w:r>
      <w:r w:rsidR="006618D7" w:rsidRPr="00E03B28">
        <w:t>types</w:t>
      </w:r>
      <w:r w:rsidR="00E03B28">
        <w:t xml:space="preserve">, </w:t>
      </w:r>
      <w:r w:rsidR="0024325C">
        <w:t>for tho</w:t>
      </w:r>
      <w:r w:rsidR="00E03B28">
        <w:t>se would be universals</w:t>
      </w:r>
      <w:r w:rsidR="0024325C">
        <w:t>.</w:t>
      </w:r>
      <w:r w:rsidR="006618D7">
        <w:t xml:space="preserve"> </w:t>
      </w:r>
      <w:r w:rsidR="0024325C">
        <w:t>In this “turn</w:t>
      </w:r>
      <w:r w:rsidR="006618D7">
        <w:t>,</w:t>
      </w:r>
      <w:r w:rsidR="0024325C">
        <w:t>” then,</w:t>
      </w:r>
      <w:r w:rsidR="006618D7">
        <w:t xml:space="preserve"> nominalism</w:t>
      </w:r>
      <w:r w:rsidR="00DC7178">
        <w:t xml:space="preserve"> </w:t>
      </w:r>
      <w:r w:rsidR="006618D7">
        <w:t xml:space="preserve">would be </w:t>
      </w:r>
      <w:r w:rsidR="0024325C">
        <w:t xml:space="preserve">applied every bit as much to words and meanings as it had been to other </w:t>
      </w:r>
      <w:r w:rsidR="003F7428">
        <w:t>objects in the world.</w:t>
      </w:r>
    </w:p>
    <w:p w:rsidR="001D0899" w:rsidRDefault="003F7428" w:rsidP="001D0899">
      <w:pPr>
        <w:spacing w:line="480" w:lineRule="auto"/>
        <w:ind w:firstLine="720"/>
      </w:pPr>
      <w:r>
        <w:t xml:space="preserve">Then, </w:t>
      </w:r>
      <w:r w:rsidR="00DE324E">
        <w:t xml:space="preserve">Ludwig </w:t>
      </w:r>
      <w:r>
        <w:t>Wittgenstein</w:t>
      </w:r>
      <w:r w:rsidR="003927DB">
        <w:t xml:space="preserve"> (1889-1951</w:t>
      </w:r>
      <w:r w:rsidR="00DE324E">
        <w:t>)</w:t>
      </w:r>
      <w:r>
        <w:t>, who had been a logical positivist, developed his later philosophy</w:t>
      </w:r>
      <w:r w:rsidR="00DC7178">
        <w:t>. He</w:t>
      </w:r>
      <w:r>
        <w:t xml:space="preserve"> focused on ordinary language in actual </w:t>
      </w:r>
      <w:r w:rsidR="00BD2D23">
        <w:t xml:space="preserve">use (again, a behavioral matter). </w:t>
      </w:r>
      <w:r w:rsidR="00DC7178">
        <w:t>On it, m</w:t>
      </w:r>
      <w:r w:rsidR="005B363C">
        <w:t xml:space="preserve">eaning </w:t>
      </w:r>
      <w:r w:rsidR="00DC7178">
        <w:t>i</w:t>
      </w:r>
      <w:r w:rsidR="005B363C">
        <w:t xml:space="preserve">s not what someone had in mind (a mental state, which is not shareable, </w:t>
      </w:r>
      <w:r w:rsidR="00D1576E">
        <w:t xml:space="preserve">and its intentional contents), but it primarily is a matter of use in a social context (a form of life, with its language </w:t>
      </w:r>
      <w:r w:rsidR="001D0899">
        <w:t>games).</w:t>
      </w:r>
    </w:p>
    <w:p w:rsidR="000D34E5" w:rsidRDefault="000D34E5" w:rsidP="00C12AAE">
      <w:pPr>
        <w:spacing w:line="480" w:lineRule="auto"/>
        <w:ind w:firstLine="720"/>
        <w:rPr>
          <w:sz w:val="22"/>
        </w:rPr>
      </w:pPr>
      <w:r>
        <w:t>Brad Kall</w:t>
      </w:r>
      <w:r w:rsidR="001D0899">
        <w:t xml:space="preserve">enberg claims Wittgenstein aimed </w:t>
      </w:r>
      <w:r>
        <w:t>to clear up</w:t>
      </w:r>
      <w:r w:rsidR="001D0899">
        <w:t xml:space="preserve"> conceptual confusions that arise from our trying to achieve</w:t>
      </w:r>
      <w:r>
        <w:t xml:space="preserve"> general claims of how things </w:t>
      </w:r>
      <w:r>
        <w:rPr>
          <w:i/>
        </w:rPr>
        <w:t>really</w:t>
      </w:r>
      <w:r w:rsidR="001D0899">
        <w:t xml:space="preserve"> are. To do that, we invent essences and universals.</w:t>
      </w:r>
      <w:r>
        <w:t xml:space="preserve"> Wittgenstein </w:t>
      </w:r>
      <w:r w:rsidR="001D0899">
        <w:t xml:space="preserve">saw this in relation to </w:t>
      </w:r>
      <w:r>
        <w:t>language:</w:t>
      </w:r>
    </w:p>
    <w:p w:rsidR="000D34E5" w:rsidRDefault="000D34E5" w:rsidP="007207D4">
      <w:pPr>
        <w:pStyle w:val="BodyText"/>
        <w:ind w:left="720"/>
        <w:rPr>
          <w:sz w:val="22"/>
        </w:rPr>
      </w:pPr>
      <w:r>
        <w:rPr>
          <w:sz w:val="22"/>
        </w:rPr>
        <w:t>Here we come up against the great question that lies behind all these considerations.--For someone might object against me: “You take the easy way out!  You talk about all sorts of language-games, but nowhere have said what the essence of a language-game, and hence of language, is: what is common to all these activities, and what makes them into language or parts of language ... .”  And this is true.--Instead of producing something common to all that we call language, I am saying that these phenomena have no one thing in common which makes us use the same word for all,--but that they are related to one another in many different ways</w:t>
      </w:r>
      <w:r w:rsidR="00B54AFB">
        <w:rPr>
          <w:sz w:val="22"/>
        </w:rPr>
        <w:t xml:space="preserve">. </w:t>
      </w:r>
      <w:r>
        <w:rPr>
          <w:sz w:val="22"/>
        </w:rPr>
        <w:t>And it is because of this relationship, or relationships, that we call them all “language.”</w:t>
      </w:r>
      <w:r>
        <w:rPr>
          <w:rStyle w:val="FootnoteReference"/>
          <w:sz w:val="22"/>
        </w:rPr>
        <w:footnoteReference w:id="24"/>
      </w:r>
      <w:r>
        <w:rPr>
          <w:sz w:val="22"/>
        </w:rPr>
        <w:t xml:space="preserve"> </w:t>
      </w:r>
    </w:p>
    <w:p w:rsidR="000D34E5" w:rsidRDefault="000D34E5" w:rsidP="000D34E5">
      <w:pPr>
        <w:pStyle w:val="BodyText"/>
        <w:ind w:left="720"/>
        <w:rPr>
          <w:sz w:val="22"/>
        </w:rPr>
      </w:pPr>
    </w:p>
    <w:p w:rsidR="000D34E5" w:rsidRPr="003927DB" w:rsidRDefault="000D34E5" w:rsidP="003927DB">
      <w:pPr>
        <w:pStyle w:val="BodyText"/>
        <w:spacing w:line="480" w:lineRule="auto"/>
      </w:pPr>
      <w:r>
        <w:t xml:space="preserve"> </w:t>
      </w:r>
      <w:r>
        <w:tab/>
        <w:t>For Kallenberg’s Wittgenstein, metaphysical theori</w:t>
      </w:r>
      <w:r w:rsidR="001D0899">
        <w:t>zing bewitches us and leaves us in interminable debates.</w:t>
      </w:r>
      <w:r>
        <w:rPr>
          <w:rStyle w:val="FootnoteReference"/>
        </w:rPr>
        <w:footnoteReference w:id="25"/>
      </w:r>
      <w:r w:rsidR="001D0899">
        <w:t xml:space="preserve"> Consider </w:t>
      </w:r>
      <w:r>
        <w:t>Wittgenstein</w:t>
      </w:r>
      <w:r w:rsidR="001D0899">
        <w:t xml:space="preserve">’s </w:t>
      </w:r>
      <w:r>
        <w:t>discussion of scientific claims, such as th</w:t>
      </w:r>
      <w:r w:rsidR="001D0899">
        <w:t>e following:</w:t>
      </w:r>
    </w:p>
    <w:p w:rsidR="000D34E5" w:rsidRDefault="000D34E5" w:rsidP="007207D4">
      <w:pPr>
        <w:pStyle w:val="BodyText"/>
        <w:ind w:left="720"/>
        <w:rPr>
          <w:sz w:val="22"/>
        </w:rPr>
      </w:pPr>
      <w:r>
        <w:rPr>
          <w:sz w:val="22"/>
        </w:rPr>
        <w:lastRenderedPageBreak/>
        <w:t>. . . There must not be anything hypothetical in our considerations</w:t>
      </w:r>
      <w:r w:rsidR="00B54AFB">
        <w:rPr>
          <w:sz w:val="22"/>
        </w:rPr>
        <w:t xml:space="preserve">. </w:t>
      </w:r>
      <w:r>
        <w:rPr>
          <w:sz w:val="22"/>
        </w:rPr>
        <w:t xml:space="preserve">We must do away with all </w:t>
      </w:r>
      <w:r>
        <w:rPr>
          <w:i/>
          <w:sz w:val="22"/>
        </w:rPr>
        <w:t>explanation</w:t>
      </w:r>
      <w:r>
        <w:rPr>
          <w:sz w:val="22"/>
        </w:rPr>
        <w:t>, and description alone must take its place</w:t>
      </w:r>
      <w:r w:rsidR="00B54AFB">
        <w:rPr>
          <w:sz w:val="22"/>
        </w:rPr>
        <w:t xml:space="preserve">. </w:t>
      </w:r>
      <w:r>
        <w:rPr>
          <w:sz w:val="22"/>
        </w:rPr>
        <w:t>And this description gets its light, that is to say its purpose, from the philosophical problems</w:t>
      </w:r>
      <w:r w:rsidR="00B54AFB">
        <w:rPr>
          <w:sz w:val="22"/>
        </w:rPr>
        <w:t xml:space="preserve">. </w:t>
      </w:r>
      <w:r>
        <w:rPr>
          <w:sz w:val="22"/>
        </w:rPr>
        <w:t xml:space="preserve">These are, of course, not empirical problems; they are solved, rather, by looking into the workings of our language, and that in such a way as to make us recognize those workings: </w:t>
      </w:r>
      <w:r>
        <w:rPr>
          <w:i/>
          <w:sz w:val="22"/>
        </w:rPr>
        <w:t>in despite of</w:t>
      </w:r>
      <w:r>
        <w:rPr>
          <w:sz w:val="22"/>
        </w:rPr>
        <w:t xml:space="preserve"> an urge to misunderstand them</w:t>
      </w:r>
      <w:r w:rsidR="00B54AFB">
        <w:rPr>
          <w:sz w:val="22"/>
        </w:rPr>
        <w:t xml:space="preserve">. </w:t>
      </w:r>
      <w:r>
        <w:rPr>
          <w:sz w:val="22"/>
        </w:rPr>
        <w:t>The problems are solved, not by giving new information, but by arranging what we have always known</w:t>
      </w:r>
      <w:r w:rsidR="00B54AFB">
        <w:rPr>
          <w:sz w:val="22"/>
        </w:rPr>
        <w:t xml:space="preserve">. </w:t>
      </w:r>
      <w:r>
        <w:rPr>
          <w:sz w:val="22"/>
        </w:rPr>
        <w:t>Philosophy is a battle against the bewitchment of our intelligence by means of language.</w:t>
      </w:r>
      <w:r>
        <w:rPr>
          <w:rStyle w:val="FootnoteReference"/>
          <w:sz w:val="22"/>
        </w:rPr>
        <w:footnoteReference w:id="26"/>
      </w:r>
    </w:p>
    <w:p w:rsidR="000D34E5" w:rsidRDefault="000D34E5" w:rsidP="000D34E5">
      <w:pPr>
        <w:pStyle w:val="BodyText"/>
        <w:ind w:left="720"/>
        <w:rPr>
          <w:sz w:val="22"/>
        </w:rPr>
      </w:pPr>
    </w:p>
    <w:p w:rsidR="000D34E5" w:rsidRPr="007207D4" w:rsidRDefault="000D34E5" w:rsidP="007207D4">
      <w:pPr>
        <w:pStyle w:val="BodyText"/>
        <w:spacing w:line="480" w:lineRule="auto"/>
      </w:pPr>
      <w:r>
        <w:tab/>
        <w:t xml:space="preserve">Kallenberg </w:t>
      </w:r>
      <w:r w:rsidR="001D0899">
        <w:t xml:space="preserve">also explains that Wittgenstein </w:t>
      </w:r>
      <w:r>
        <w:t xml:space="preserve">rejects “representationalism,” </w:t>
      </w:r>
      <w:r w:rsidR="001D0899">
        <w:t xml:space="preserve">i.e., </w:t>
      </w:r>
      <w:r w:rsidR="00EB2D9A">
        <w:t xml:space="preserve">the view that </w:t>
      </w:r>
      <w:r>
        <w:t>language can represent, or corresp</w:t>
      </w:r>
      <w:r w:rsidR="001D0899">
        <w:t xml:space="preserve">ond to, reality. But, in defense of Wittgenstein’s appeal to the tie of languages to their contexts, or forms of life, </w:t>
      </w:r>
      <w:r>
        <w:t>Kallen</w:t>
      </w:r>
      <w:r w:rsidR="001D0899">
        <w:t xml:space="preserve">berg explains </w:t>
      </w:r>
      <w:r w:rsidR="007207D4">
        <w:t xml:space="preserve"> </w:t>
      </w:r>
    </w:p>
    <w:p w:rsidR="000D34E5" w:rsidRDefault="000D34E5" w:rsidP="007207D4">
      <w:pPr>
        <w:pStyle w:val="BodyText"/>
        <w:ind w:left="720"/>
        <w:rPr>
          <w:sz w:val="22"/>
        </w:rPr>
      </w:pPr>
      <w:r>
        <w:rPr>
          <w:sz w:val="22"/>
        </w:rPr>
        <w:t xml:space="preserve">[t]here is no way to talk about what language gets compared with without </w:t>
      </w:r>
      <w:r>
        <w:rPr>
          <w:i/>
          <w:sz w:val="22"/>
        </w:rPr>
        <w:t>talking</w:t>
      </w:r>
      <w:r>
        <w:rPr>
          <w:sz w:val="22"/>
        </w:rPr>
        <w:t xml:space="preserve"> about it; there is no criterion for knowing I’ve got the right “this” (this effect, this referent, this object, this sensation, this word) unless language is already in place</w:t>
      </w:r>
      <w:r w:rsidR="00B54AFB">
        <w:rPr>
          <w:sz w:val="22"/>
        </w:rPr>
        <w:t xml:space="preserve">. </w:t>
      </w:r>
      <w:r>
        <w:rPr>
          <w:sz w:val="22"/>
        </w:rPr>
        <w:t>Therefore, the “meaning” of a word can only be determined by its place in the linguistic system.</w:t>
      </w:r>
      <w:r>
        <w:rPr>
          <w:rStyle w:val="FootnoteReference"/>
          <w:sz w:val="22"/>
        </w:rPr>
        <w:footnoteReference w:id="27"/>
      </w:r>
    </w:p>
    <w:p w:rsidR="007207D4" w:rsidRDefault="007207D4" w:rsidP="007207D4">
      <w:pPr>
        <w:pStyle w:val="BodyText"/>
        <w:ind w:left="720"/>
        <w:rPr>
          <w:sz w:val="22"/>
        </w:rPr>
      </w:pPr>
    </w:p>
    <w:p w:rsidR="000D34E5" w:rsidRDefault="007207D4" w:rsidP="000D34E5">
      <w:pPr>
        <w:pStyle w:val="BodyText"/>
        <w:spacing w:line="480" w:lineRule="auto"/>
      </w:pPr>
      <w:r>
        <w:t xml:space="preserve">Thus, any attempt to match up our claims with reality itself is futile. For </w:t>
      </w:r>
      <w:r w:rsidR="000D34E5">
        <w:t xml:space="preserve">Wittgenstein </w:t>
      </w:r>
      <w:r>
        <w:t xml:space="preserve">himself, a </w:t>
      </w:r>
      <w:r w:rsidR="000D34E5">
        <w:t xml:space="preserve">meaning </w:t>
      </w:r>
      <w:r>
        <w:t xml:space="preserve">is tied to a </w:t>
      </w:r>
      <w:r w:rsidR="000D34E5">
        <w:t>language-game</w:t>
      </w:r>
      <w:r>
        <w:t xml:space="preserve"> (and its form of life)</w:t>
      </w:r>
      <w:r w:rsidR="000D34E5">
        <w:t>, and “it gives the wrong idea if you say that the connection between name and object is a psychological one” (</w:t>
      </w:r>
      <w:r>
        <w:t>i.e., what is before one’s mind in conscious awareness).</w:t>
      </w:r>
      <w:r w:rsidR="000D34E5">
        <w:rPr>
          <w:rStyle w:val="FootnoteReference"/>
        </w:rPr>
        <w:footnoteReference w:id="28"/>
      </w:r>
      <w:r w:rsidR="000D34E5">
        <w:t xml:space="preserve"> </w:t>
      </w:r>
      <w:r>
        <w:t xml:space="preserve">Instead, for </w:t>
      </w:r>
      <w:r w:rsidR="000D34E5">
        <w:t>Wittgenstein</w:t>
      </w:r>
      <w:r>
        <w:t>,</w:t>
      </w:r>
      <w:r w:rsidR="000D34E5">
        <w:t xml:space="preserve"> “the connection between ‘language and reality’ is made by definition of words, and these belong to grammar, so that language remains self-contained and autonomous.”</w:t>
      </w:r>
      <w:r w:rsidR="000D34E5">
        <w:rPr>
          <w:rStyle w:val="FootnoteReference"/>
        </w:rPr>
        <w:footnoteReference w:id="29"/>
      </w:r>
    </w:p>
    <w:p w:rsidR="000D34E5" w:rsidRPr="007207D4" w:rsidRDefault="000D34E5" w:rsidP="007207D4">
      <w:pPr>
        <w:pStyle w:val="BodyText"/>
        <w:spacing w:line="480" w:lineRule="auto"/>
      </w:pPr>
      <w:r>
        <w:tab/>
      </w:r>
      <w:r w:rsidR="007207D4">
        <w:t>Therefore, as</w:t>
      </w:r>
      <w:r>
        <w:t xml:space="preserve"> Wittgenstein </w:t>
      </w:r>
      <w:r w:rsidR="00EB2D9A">
        <w:t>claims</w:t>
      </w:r>
      <w:r>
        <w:t>, “it is in language that it is all done.”</w:t>
      </w:r>
      <w:r>
        <w:rPr>
          <w:rStyle w:val="FootnoteReference"/>
        </w:rPr>
        <w:footnoteReference w:id="30"/>
      </w:r>
      <w:r w:rsidR="007207D4">
        <w:t xml:space="preserve"> Like Thomas Kuhn, Wittgenstein</w:t>
      </w:r>
      <w:r>
        <w:t xml:space="preserve"> </w:t>
      </w:r>
      <w:r w:rsidR="007207D4">
        <w:t>explains:</w:t>
      </w:r>
    </w:p>
    <w:p w:rsidR="007207D4" w:rsidRDefault="000D34E5" w:rsidP="007207D4">
      <w:pPr>
        <w:pStyle w:val="BodyText"/>
        <w:ind w:left="720"/>
        <w:rPr>
          <w:sz w:val="22"/>
        </w:rPr>
      </w:pPr>
      <w:r>
        <w:rPr>
          <w:sz w:val="22"/>
        </w:rPr>
        <w:t>All testing, all confirmation and disconfirmation of a hypothesis takes place already within a system</w:t>
      </w:r>
      <w:r w:rsidR="00B54AFB">
        <w:rPr>
          <w:sz w:val="22"/>
        </w:rPr>
        <w:t xml:space="preserve">. </w:t>
      </w:r>
      <w:r>
        <w:rPr>
          <w:sz w:val="22"/>
        </w:rPr>
        <w:t>And this system is not a more or less arbitrary and doubtful point of departure for all our arguments: no, it belongs to the essence of what we call an argument</w:t>
      </w:r>
      <w:r w:rsidR="00B54AFB">
        <w:rPr>
          <w:sz w:val="22"/>
        </w:rPr>
        <w:t xml:space="preserve">. </w:t>
      </w:r>
      <w:r>
        <w:rPr>
          <w:sz w:val="22"/>
        </w:rPr>
        <w:t>The system is not so much the point of departure, as the element in which arguments have their life.</w:t>
      </w:r>
      <w:r>
        <w:rPr>
          <w:rStyle w:val="FootnoteReference"/>
          <w:sz w:val="22"/>
        </w:rPr>
        <w:footnoteReference w:id="31"/>
      </w:r>
    </w:p>
    <w:p w:rsidR="007207D4" w:rsidRPr="007207D4" w:rsidRDefault="007207D4" w:rsidP="007207D4">
      <w:pPr>
        <w:pStyle w:val="BodyText"/>
        <w:ind w:left="720"/>
        <w:rPr>
          <w:sz w:val="22"/>
        </w:rPr>
      </w:pPr>
    </w:p>
    <w:p w:rsidR="005A3695" w:rsidRDefault="007207D4" w:rsidP="005A3695">
      <w:pPr>
        <w:pStyle w:val="BodyText"/>
        <w:spacing w:line="480" w:lineRule="auto"/>
        <w:ind w:firstLine="720"/>
      </w:pPr>
      <w:r>
        <w:lastRenderedPageBreak/>
        <w:t xml:space="preserve">Without universals or </w:t>
      </w:r>
      <w:r w:rsidR="000D34E5">
        <w:t>essence</w:t>
      </w:r>
      <w:r>
        <w:t>s,</w:t>
      </w:r>
      <w:r w:rsidR="000D34E5">
        <w:t xml:space="preserve"> </w:t>
      </w:r>
      <w:r>
        <w:t xml:space="preserve">even </w:t>
      </w:r>
      <w:r w:rsidR="000D34E5">
        <w:t xml:space="preserve">to language, </w:t>
      </w:r>
      <w:r>
        <w:t xml:space="preserve">everything </w:t>
      </w:r>
      <w:r w:rsidR="00F6307A">
        <w:t>is particular. T</w:t>
      </w:r>
      <w:r>
        <w:t>here is a strong nominalism running through the later Wittgenstein’s views</w:t>
      </w:r>
      <w:r w:rsidR="00F6307A">
        <w:t xml:space="preserve"> and for those who follow his views closely</w:t>
      </w:r>
      <w:r>
        <w:t>.</w:t>
      </w:r>
      <w:r w:rsidR="00F6307A">
        <w:rPr>
          <w:rStyle w:val="FootnoteReference"/>
        </w:rPr>
        <w:footnoteReference w:id="32"/>
      </w:r>
      <w:r>
        <w:t xml:space="preserve"> </w:t>
      </w:r>
      <w:r w:rsidR="00282D78">
        <w:t>There also is a continued emphasis upon what is empirically observable</w:t>
      </w:r>
      <w:r w:rsidR="00B54AFB">
        <w:t xml:space="preserve">. </w:t>
      </w:r>
      <w:r w:rsidR="00282D78">
        <w:t>Meanings, for instance, are not the intention (understood as a mental state) of an individual, but instead are matters of behavior in a given social setting.</w:t>
      </w:r>
    </w:p>
    <w:p w:rsidR="005A3695" w:rsidRDefault="002470A1" w:rsidP="005A3695">
      <w:pPr>
        <w:pStyle w:val="BodyText"/>
        <w:spacing w:line="480" w:lineRule="auto"/>
        <w:ind w:firstLine="720"/>
      </w:pPr>
      <w:r>
        <w:t xml:space="preserve">While </w:t>
      </w:r>
      <w:r w:rsidR="005A3695">
        <w:t xml:space="preserve">many consider </w:t>
      </w:r>
      <w:r>
        <w:t xml:space="preserve">Wittgenstein to be a fountainhead of Anglo-American postmodernity, </w:t>
      </w:r>
      <w:r w:rsidR="005A3695">
        <w:t xml:space="preserve">people associate </w:t>
      </w:r>
      <w:r>
        <w:t xml:space="preserve">Jacques Derrida </w:t>
      </w:r>
      <w:r w:rsidR="00DE324E" w:rsidRPr="006A0029">
        <w:t>(1930-2004)</w:t>
      </w:r>
      <w:r w:rsidR="00DE324E" w:rsidRPr="003F5B28">
        <w:t xml:space="preserve"> </w:t>
      </w:r>
      <w:r>
        <w:t xml:space="preserve">with the Continental variety. Nonetheless, </w:t>
      </w:r>
      <w:r w:rsidR="00B41AAD">
        <w:t>his views als</w:t>
      </w:r>
      <w:r w:rsidR="00DF006C">
        <w:t xml:space="preserve">o demonstrate a strong commitment to nominalism and a lack of essences. </w:t>
      </w:r>
      <w:r w:rsidR="005A3695">
        <w:t>Consider Derrida’s claim that</w:t>
      </w:r>
      <w:r w:rsidR="005A3695" w:rsidRPr="00AB2853">
        <w:t xml:space="preserve"> “</w:t>
      </w:r>
      <w:r w:rsidR="005A3695" w:rsidRPr="00AB2853">
        <w:rPr>
          <w:i/>
        </w:rPr>
        <w:t>there is nothing outside the text</w:t>
      </w:r>
      <w:r w:rsidR="005A3695" w:rsidRPr="00AB2853">
        <w:t>.”</w:t>
      </w:r>
      <w:r w:rsidR="005A3695" w:rsidRPr="00AB2853">
        <w:rPr>
          <w:rStyle w:val="FootnoteReference"/>
        </w:rPr>
        <w:footnoteReference w:id="33"/>
      </w:r>
      <w:r w:rsidR="005A3695">
        <w:t xml:space="preserve"> According to Merold Westphal, t</w:t>
      </w:r>
      <w:r w:rsidR="005A3695" w:rsidRPr="00AB2853">
        <w:t>his signifies “textuality as a limit within which we have whatever freedom we have.”</w:t>
      </w:r>
      <w:r w:rsidR="005A3695" w:rsidRPr="00AB2853">
        <w:rPr>
          <w:rStyle w:val="FootnoteReference"/>
        </w:rPr>
        <w:footnoteReference w:id="34"/>
      </w:r>
      <w:r w:rsidR="005A3695">
        <w:t xml:space="preserve"> </w:t>
      </w:r>
      <w:r w:rsidR="00642992">
        <w:t>Epistemically, Westphal explains this</w:t>
      </w:r>
      <w:r w:rsidR="005A3695" w:rsidRPr="00AB2853">
        <w:t xml:space="preserve"> means that “Being must always already be conceptualized,” </w:t>
      </w:r>
      <w:r w:rsidR="00B41AAD">
        <w:t>because</w:t>
      </w:r>
      <w:r w:rsidR="00642992">
        <w:t xml:space="preserve"> </w:t>
      </w:r>
      <w:r w:rsidR="005A3695" w:rsidRPr="00AB2853">
        <w:t xml:space="preserve">we do not have access </w:t>
      </w:r>
      <w:r w:rsidR="00B41AAD">
        <w:t xml:space="preserve">immediately </w:t>
      </w:r>
      <w:r w:rsidR="005A3695" w:rsidRPr="00AB2853">
        <w:t xml:space="preserve">to </w:t>
      </w:r>
      <w:r w:rsidR="00642992">
        <w:t>reality.</w:t>
      </w:r>
      <w:r w:rsidR="005A3695" w:rsidRPr="00AB2853">
        <w:rPr>
          <w:rStyle w:val="FootnoteReference"/>
        </w:rPr>
        <w:footnoteReference w:id="35"/>
      </w:r>
      <w:r w:rsidR="005A3695">
        <w:t xml:space="preserve"> </w:t>
      </w:r>
      <w:r w:rsidR="00642992">
        <w:t>M</w:t>
      </w:r>
      <w:r w:rsidR="005A3695" w:rsidRPr="00AB2853">
        <w:t>etaphysically</w:t>
      </w:r>
      <w:r w:rsidR="00642992">
        <w:t>,</w:t>
      </w:r>
      <w:r w:rsidR="005A3695" w:rsidRPr="00AB2853">
        <w:t xml:space="preserve"> things themselves are </w:t>
      </w:r>
      <w:r w:rsidR="00642992" w:rsidRPr="00AB2853">
        <w:t>not wha</w:t>
      </w:r>
      <w:r w:rsidR="00642992">
        <w:t xml:space="preserve">t </w:t>
      </w:r>
      <w:r w:rsidR="00EC6FC6">
        <w:t>are</w:t>
      </w:r>
      <w:r w:rsidR="00642992">
        <w:t xml:space="preserve"> signified; rather, they are</w:t>
      </w:r>
      <w:r w:rsidR="00642992" w:rsidRPr="00AB2853">
        <w:t xml:space="preserve"> </w:t>
      </w:r>
      <w:r w:rsidR="005A3695" w:rsidRPr="00642992">
        <w:rPr>
          <w:i/>
        </w:rPr>
        <w:t>signs</w:t>
      </w:r>
      <w:r w:rsidR="00642992">
        <w:t xml:space="preserve"> and thus</w:t>
      </w:r>
      <w:r w:rsidR="005A3695" w:rsidRPr="00AB2853">
        <w:t xml:space="preserve"> “essentially point beyond themselves.”</w:t>
      </w:r>
      <w:r w:rsidR="005A3695" w:rsidRPr="00AB2853">
        <w:rPr>
          <w:rStyle w:val="FootnoteReference"/>
        </w:rPr>
        <w:footnoteReference w:id="36"/>
      </w:r>
      <w:r w:rsidR="005A3695">
        <w:t xml:space="preserve"> </w:t>
      </w:r>
      <w:r w:rsidR="00B41AAD">
        <w:t>Accordingly</w:t>
      </w:r>
      <w:r w:rsidR="005A3695" w:rsidRPr="00AB2853">
        <w:t>, Westphal claims “there is no signified that ‘would place a reassuring end to the reference from sign to sign’ by failing to refer beyond itself.”</w:t>
      </w:r>
      <w:r w:rsidR="005A3695" w:rsidRPr="00AB2853">
        <w:rPr>
          <w:rStyle w:val="FootnoteReference"/>
        </w:rPr>
        <w:footnoteReference w:id="37"/>
      </w:r>
    </w:p>
    <w:p w:rsidR="005C3B47" w:rsidRDefault="005A3695" w:rsidP="00587A7A">
      <w:pPr>
        <w:pStyle w:val="BodyText"/>
        <w:spacing w:line="480" w:lineRule="auto"/>
        <w:ind w:firstLine="720"/>
      </w:pPr>
      <w:r w:rsidRPr="00AB2853">
        <w:t>For Derrida, there is always an a</w:t>
      </w:r>
      <w:r w:rsidR="00B41AAD">
        <w:t>bsence “to”</w:t>
      </w:r>
      <w:r w:rsidR="00A315F0">
        <w:t xml:space="preserve"> things. Yet, w</w:t>
      </w:r>
      <w:r w:rsidRPr="00AB2853">
        <w:t xml:space="preserve">hat is not present somehow </w:t>
      </w:r>
      <w:r w:rsidR="00A315F0">
        <w:t>is essential to what is present. Moreover, he</w:t>
      </w:r>
      <w:r w:rsidR="008D0684">
        <w:t xml:space="preserve"> denies that thoughts, facts, </w:t>
      </w:r>
      <w:r w:rsidRPr="00AB2853">
        <w:t>linguistic utterances</w:t>
      </w:r>
      <w:r w:rsidR="008D0684">
        <w:t>, etc.,</w:t>
      </w:r>
      <w:r w:rsidRPr="00AB2853">
        <w:t xml:space="preserve"> are wholes that ar</w:t>
      </w:r>
      <w:r w:rsidR="008D0684">
        <w:t>e complete in themselves. Instead</w:t>
      </w:r>
      <w:r w:rsidRPr="00AB2853">
        <w:t xml:space="preserve">, from one re-presentation to another, there </w:t>
      </w:r>
      <w:r w:rsidRPr="00AB2853">
        <w:lastRenderedPageBreak/>
        <w:t xml:space="preserve">will be </w:t>
      </w:r>
      <w:r w:rsidR="008D0684">
        <w:rPr>
          <w:i/>
        </w:rPr>
        <w:t>difference</w:t>
      </w:r>
      <w:r w:rsidR="00B41AAD">
        <w:t xml:space="preserve">, for </w:t>
      </w:r>
      <w:r w:rsidR="008D0684">
        <w:t>t</w:t>
      </w:r>
      <w:r w:rsidR="00967FAF">
        <w:t xml:space="preserve">here are no </w:t>
      </w:r>
      <w:r w:rsidR="001D2DEC">
        <w:t xml:space="preserve">numerical </w:t>
      </w:r>
      <w:r w:rsidR="00967FAF">
        <w:t>identities</w:t>
      </w:r>
      <w:r w:rsidR="00A315F0">
        <w:t xml:space="preserve">, not even </w:t>
      </w:r>
      <w:r w:rsidR="00967FAF">
        <w:t xml:space="preserve">for </w:t>
      </w:r>
      <w:r w:rsidR="00A315F0">
        <w:t>uses of the “same”</w:t>
      </w:r>
      <w:r w:rsidR="001D2DEC">
        <w:t xml:space="preserve"> word</w:t>
      </w:r>
      <w:r w:rsidRPr="00AB2853">
        <w:t>.</w:t>
      </w:r>
      <w:r>
        <w:t xml:space="preserve"> </w:t>
      </w:r>
      <w:r w:rsidR="007A41B9">
        <w:t>T</w:t>
      </w:r>
      <w:r w:rsidR="00967FAF">
        <w:t xml:space="preserve">here are only particulars without any </w:t>
      </w:r>
      <w:r w:rsidR="008D0684">
        <w:t xml:space="preserve">real </w:t>
      </w:r>
      <w:r w:rsidR="00967FAF">
        <w:t>essences to them</w:t>
      </w:r>
      <w:r w:rsidR="008D0684">
        <w:t>.</w:t>
      </w:r>
      <w:r w:rsidR="008D0684" w:rsidRPr="00AB2853">
        <w:t xml:space="preserve"> </w:t>
      </w:r>
    </w:p>
    <w:p w:rsidR="005C3B47" w:rsidRDefault="005C3B47" w:rsidP="008D0684">
      <w:pPr>
        <w:pStyle w:val="BodyText"/>
        <w:spacing w:line="480" w:lineRule="auto"/>
        <w:ind w:firstLine="720"/>
      </w:pPr>
      <w:r>
        <w:t xml:space="preserve">Interestingly, we see a pattern from Nietzsche through Derrida: there are no identities, or essences, so everything is particular. </w:t>
      </w:r>
      <w:r w:rsidR="00110050">
        <w:t xml:space="preserve">While there is the strong emphasis upon the role of language in all these thinkers, there also is the further turn to interpretation, evidenced in Derrida and apparently Wittgenstein too. But, Nietzsche also seemed to have a place for that, for his constructivism was by </w:t>
      </w:r>
      <w:r w:rsidR="00110050" w:rsidRPr="00110050">
        <w:rPr>
          <w:i/>
        </w:rPr>
        <w:t>taking</w:t>
      </w:r>
      <w:r w:rsidR="00110050">
        <w:t xml:space="preserve"> things to be identical, which seems to</w:t>
      </w:r>
      <w:r w:rsidR="006773CE">
        <w:t xml:space="preserve"> be roughly synonymous with </w:t>
      </w:r>
      <w:r w:rsidR="00110050">
        <w:t xml:space="preserve">conceptualizing and interpreting things as such. Unfortunately, </w:t>
      </w:r>
      <w:r w:rsidR="00767F1E">
        <w:t xml:space="preserve">on these views, </w:t>
      </w:r>
      <w:r w:rsidR="00110050">
        <w:t xml:space="preserve">there is no limit to what needs to be taken, for it seems nothing simply is given to us. </w:t>
      </w:r>
      <w:r w:rsidR="00767F1E">
        <w:t xml:space="preserve">Once again, we are left with an infinite regress, with </w:t>
      </w:r>
      <w:r w:rsidR="00767F1E" w:rsidRPr="00767F1E">
        <w:rPr>
          <w:i/>
        </w:rPr>
        <w:t>everything</w:t>
      </w:r>
      <w:r w:rsidR="00767F1E">
        <w:t xml:space="preserve"> being interpretation. Moreover</w:t>
      </w:r>
      <w:r w:rsidR="00110050">
        <w:t>,</w:t>
      </w:r>
      <w:r w:rsidR="00767F1E">
        <w:t xml:space="preserve"> if everything is particular, and there are no numerical identities, then we are left with only qualitative identities. But, what makes two things qualitatively identical? Ultimately, that seems to depend upon their sharing something in common. But, if everything truly is particular, then why in principle think that two things would share any traits in common? And why wouldn’t the same problem surface for words? If that is the case, then why should we ever hope to communicate our ideas with each other?</w:t>
      </w:r>
    </w:p>
    <w:p w:rsidR="00193C3E" w:rsidRDefault="003D7958" w:rsidP="008D0684">
      <w:pPr>
        <w:pStyle w:val="BodyText"/>
        <w:spacing w:line="480" w:lineRule="auto"/>
        <w:ind w:firstLine="720"/>
      </w:pPr>
      <w:r>
        <w:t>N</w:t>
      </w:r>
      <w:r w:rsidR="00676ED2">
        <w:t>ow, we already have seen two examples of n</w:t>
      </w:r>
      <w:r>
        <w:t xml:space="preserve">aturalists </w:t>
      </w:r>
      <w:r w:rsidR="00676ED2">
        <w:t>(</w:t>
      </w:r>
      <w:r w:rsidR="00E874F0">
        <w:t>Niet</w:t>
      </w:r>
      <w:r w:rsidR="00676ED2">
        <w:t xml:space="preserve">zsche and the logical positivists) </w:t>
      </w:r>
      <w:r>
        <w:t xml:space="preserve">in this broad, constructivist tradition. </w:t>
      </w:r>
      <w:r w:rsidR="00E874F0">
        <w:t>But other</w:t>
      </w:r>
      <w:r w:rsidR="00587A7A">
        <w:t xml:space="preserve"> naturalists</w:t>
      </w:r>
      <w:r w:rsidR="00E874F0">
        <w:t>’ views</w:t>
      </w:r>
      <w:r w:rsidR="00587A7A">
        <w:t xml:space="preserve"> </w:t>
      </w:r>
      <w:r w:rsidR="00E874F0">
        <w:t>seem to end up being kinds of constructivism</w:t>
      </w:r>
      <w:r w:rsidR="00587A7A">
        <w:t>, too</w:t>
      </w:r>
      <w:r w:rsidR="00E874F0">
        <w:t xml:space="preserve">. </w:t>
      </w:r>
      <w:r w:rsidR="00AE6910">
        <w:t xml:space="preserve">As an illustration, </w:t>
      </w:r>
      <w:r w:rsidR="00AB25DE">
        <w:t xml:space="preserve">like most naturalists, </w:t>
      </w:r>
      <w:r w:rsidR="003927DB">
        <w:t>Daniel Dennett (1942-</w:t>
      </w:r>
      <w:r w:rsidR="00587A7A">
        <w:t xml:space="preserve"> </w:t>
      </w:r>
      <w:r w:rsidR="00AE6910">
        <w:t>)</w:t>
      </w:r>
      <w:r w:rsidR="008B39CC">
        <w:t xml:space="preserve"> </w:t>
      </w:r>
      <w:r w:rsidR="00AB25DE">
        <w:t>not only rejects essences, he also embraces nominalism.</w:t>
      </w:r>
      <w:r w:rsidR="008B39CC">
        <w:t xml:space="preserve"> </w:t>
      </w:r>
      <w:r w:rsidR="00AB25DE">
        <w:t>He describes himself</w:t>
      </w:r>
      <w:r w:rsidR="008B39CC">
        <w:t xml:space="preserve"> as a functionalist about so-called “mental” properties, like </w:t>
      </w:r>
      <w:r w:rsidR="00AB25DE">
        <w:t xml:space="preserve">thoughts and </w:t>
      </w:r>
      <w:r w:rsidR="008B39CC">
        <w:t xml:space="preserve">intentionality. </w:t>
      </w:r>
      <w:r w:rsidR="00DF127D">
        <w:t>For</w:t>
      </w:r>
      <w:r w:rsidR="00AB25DE">
        <w:t xml:space="preserve"> </w:t>
      </w:r>
      <w:r w:rsidR="007B596A">
        <w:t>him</w:t>
      </w:r>
      <w:r w:rsidR="00DF127D">
        <w:t>,</w:t>
      </w:r>
      <w:r w:rsidR="00AB25DE">
        <w:t xml:space="preserve"> t</w:t>
      </w:r>
      <w:r w:rsidR="006A46E4">
        <w:t>hey are not real</w:t>
      </w:r>
      <w:r w:rsidR="00AB25DE">
        <w:t xml:space="preserve">. Instead, </w:t>
      </w:r>
      <w:r w:rsidR="006A46E4">
        <w:t>they are</w:t>
      </w:r>
      <w:r w:rsidR="00AB25DE">
        <w:t xml:space="preserve"> just</w:t>
      </w:r>
      <w:r w:rsidR="006A46E4">
        <w:t xml:space="preserve"> attributions </w:t>
      </w:r>
      <w:r w:rsidR="00193C3E">
        <w:t xml:space="preserve">(or interpretations) </w:t>
      </w:r>
      <w:r w:rsidR="006A46E4">
        <w:t>we make from observing the behavior of an “intentional system”</w:t>
      </w:r>
      <w:r w:rsidR="005930DA">
        <w:t xml:space="preserve"> (like a human being, </w:t>
      </w:r>
      <w:r w:rsidR="006A46E4">
        <w:t>a sophist</w:t>
      </w:r>
      <w:r w:rsidR="005930DA">
        <w:t xml:space="preserve">icated </w:t>
      </w:r>
      <w:r w:rsidR="00662FDB">
        <w:t>computer</w:t>
      </w:r>
      <w:r w:rsidR="005930DA">
        <w:t xml:space="preserve">, or an android </w:t>
      </w:r>
      <w:r w:rsidR="005930DA">
        <w:lastRenderedPageBreak/>
        <w:t xml:space="preserve">like Data from </w:t>
      </w:r>
      <w:r w:rsidR="005930DA" w:rsidRPr="005930DA">
        <w:rPr>
          <w:i/>
        </w:rPr>
        <w:t>Star Trek: The Next Generation</w:t>
      </w:r>
      <w:r w:rsidR="00DF127D">
        <w:t xml:space="preserve">), which enable us to </w:t>
      </w:r>
      <w:r w:rsidR="00662FDB">
        <w:t>p</w:t>
      </w:r>
      <w:r w:rsidR="00DF127D">
        <w:t xml:space="preserve">redict </w:t>
      </w:r>
      <w:r w:rsidR="00662FDB">
        <w:t xml:space="preserve">their behavior. </w:t>
      </w:r>
      <w:r w:rsidR="005930DA">
        <w:t xml:space="preserve">By treating Data as though “he” has intentions and thoughts about how to win a game of chess, we can predict what moves he will make in response to the </w:t>
      </w:r>
      <w:r w:rsidR="00194D43">
        <w:t xml:space="preserve">various </w:t>
      </w:r>
      <w:r w:rsidR="005930DA">
        <w:t>moves of his opponent.</w:t>
      </w:r>
      <w:r w:rsidR="00587A7A">
        <w:t xml:space="preserve"> D</w:t>
      </w:r>
      <w:r w:rsidR="00194D43">
        <w:t xml:space="preserve">oes Data </w:t>
      </w:r>
      <w:r w:rsidR="00587A7A">
        <w:t xml:space="preserve">really </w:t>
      </w:r>
      <w:r w:rsidR="00194D43">
        <w:t>have thoughts that are about the winning the game? No, for n</w:t>
      </w:r>
      <w:r w:rsidR="007B596A">
        <w:t>aturalism does not allow for irreducible, real mental entities</w:t>
      </w:r>
      <w:r w:rsidR="00194D43">
        <w:t xml:space="preserve">. </w:t>
      </w:r>
    </w:p>
    <w:p w:rsidR="000E76F1" w:rsidRDefault="007B596A" w:rsidP="008D0684">
      <w:pPr>
        <w:pStyle w:val="BodyText"/>
        <w:spacing w:line="480" w:lineRule="auto"/>
        <w:ind w:firstLine="720"/>
      </w:pPr>
      <w:r>
        <w:t>Yet, Dennett assumes h</w:t>
      </w:r>
      <w:r w:rsidR="00193C3E">
        <w:t xml:space="preserve">e </w:t>
      </w:r>
      <w:r>
        <w:t xml:space="preserve">and others </w:t>
      </w:r>
      <w:r w:rsidR="00193C3E">
        <w:t xml:space="preserve">can make interpretations from our observations of such systems. </w:t>
      </w:r>
      <w:r w:rsidR="007B6FDF">
        <w:t xml:space="preserve">But what do those </w:t>
      </w:r>
      <w:r>
        <w:t xml:space="preserve">interpretations </w:t>
      </w:r>
      <w:r w:rsidR="007B6FDF">
        <w:t xml:space="preserve">involve? It seems they </w:t>
      </w:r>
      <w:r w:rsidR="000E76F1">
        <w:t>must really be about the behavior of the objects</w:t>
      </w:r>
      <w:r w:rsidR="00DF127D">
        <w:t xml:space="preserve"> being observed. </w:t>
      </w:r>
      <w:r w:rsidR="000E76F1">
        <w:t xml:space="preserve">Otherwise, plainly, on his own view, Dennett’s observations and interpretations </w:t>
      </w:r>
      <w:r w:rsidR="000E76F1" w:rsidRPr="000E76F1">
        <w:rPr>
          <w:i/>
        </w:rPr>
        <w:t>themselves</w:t>
      </w:r>
      <w:r w:rsidR="000E76F1">
        <w:t xml:space="preserve"> must be just interpretations – but, in that case, of what? In that </w:t>
      </w:r>
      <w:r w:rsidR="001D3D2C">
        <w:t>scenario</w:t>
      </w:r>
      <w:r w:rsidR="000E76F1">
        <w:t>, we “lose” the object being observed as something we can know.</w:t>
      </w:r>
    </w:p>
    <w:p w:rsidR="00F31074" w:rsidRDefault="00C00C3F" w:rsidP="008D0684">
      <w:pPr>
        <w:pStyle w:val="BodyText"/>
        <w:spacing w:line="480" w:lineRule="auto"/>
        <w:ind w:firstLine="720"/>
      </w:pPr>
      <w:r>
        <w:t xml:space="preserve">Now, as I have argued elsewhere, if we pay attention to </w:t>
      </w:r>
      <w:r w:rsidR="00587A7A">
        <w:t xml:space="preserve">(for example) </w:t>
      </w:r>
      <w:r>
        <w:t xml:space="preserve">our thoughts, they seem to have their intentionality </w:t>
      </w:r>
      <w:r w:rsidRPr="00C00C3F">
        <w:rPr>
          <w:i/>
        </w:rPr>
        <w:t>intrinsically</w:t>
      </w:r>
      <w:r>
        <w:t>; my thought of my smartphone could not be about something else and still be the thought it is. I</w:t>
      </w:r>
      <w:r w:rsidR="001D3D2C">
        <w:t xml:space="preserve">f it could be changed to being about my lunch, </w:t>
      </w:r>
      <w:r>
        <w:t>t</w:t>
      </w:r>
      <w:r w:rsidR="001D3D2C">
        <w:t>hen</w:t>
      </w:r>
      <w:r>
        <w:t xml:space="preserve"> </w:t>
      </w:r>
      <w:r w:rsidR="001D3D2C">
        <w:t xml:space="preserve">it </w:t>
      </w:r>
      <w:r>
        <w:t xml:space="preserve">would be a different thought. </w:t>
      </w:r>
      <w:r w:rsidR="00AC0D1E">
        <w:t>That is, a given thought seems to have</w:t>
      </w:r>
      <w:r w:rsidR="00587A7A">
        <w:t xml:space="preserve"> a quality</w:t>
      </w:r>
      <w:r w:rsidR="001D3D2C">
        <w:t xml:space="preserve"> to it that defines </w:t>
      </w:r>
      <w:r w:rsidR="00AC0D1E">
        <w:t xml:space="preserve">it </w:t>
      </w:r>
      <w:r w:rsidR="001D3D2C">
        <w:t xml:space="preserve">as </w:t>
      </w:r>
      <w:r w:rsidR="00AC0D1E">
        <w:t xml:space="preserve">the thought that it is. </w:t>
      </w:r>
      <w:r w:rsidR="00587A7A">
        <w:t xml:space="preserve">This, of course, is a classic example of an essence which defines the </w:t>
      </w:r>
      <w:r w:rsidR="00587A7A" w:rsidRPr="00587A7A">
        <w:rPr>
          <w:i/>
        </w:rPr>
        <w:t>whatness</w:t>
      </w:r>
      <w:r w:rsidR="00587A7A">
        <w:t xml:space="preserve"> of a thing. So, for even Dennett’s intentional-stance interpretations to be about an object, it seems they would have an essence. </w:t>
      </w:r>
    </w:p>
    <w:p w:rsidR="003033E8" w:rsidRDefault="00F31074" w:rsidP="003033E8">
      <w:pPr>
        <w:spacing w:line="480" w:lineRule="auto"/>
        <w:ind w:firstLine="720"/>
      </w:pPr>
      <w:r>
        <w:t xml:space="preserve">For Dennett, of course, this cannot be the case. </w:t>
      </w:r>
      <w:r w:rsidR="003033E8">
        <w:t>He</w:t>
      </w:r>
      <w:r w:rsidR="003033E8" w:rsidRPr="00A81D16">
        <w:t xml:space="preserve"> </w:t>
      </w:r>
      <w:r w:rsidR="003033E8">
        <w:t>argues that there are no</w:t>
      </w:r>
      <w:r w:rsidR="003033E8" w:rsidRPr="00A81D16">
        <w:t xml:space="preserve"> </w:t>
      </w:r>
      <w:r w:rsidR="003033E8">
        <w:t>“</w:t>
      </w:r>
      <w:r w:rsidR="003033E8" w:rsidRPr="00A81D16">
        <w:t>deeper</w:t>
      </w:r>
      <w:r w:rsidR="003033E8">
        <w:t>”</w:t>
      </w:r>
      <w:r w:rsidR="003033E8" w:rsidRPr="00A81D16">
        <w:t xml:space="preserve"> facts (</w:t>
      </w:r>
      <w:r w:rsidR="003033E8">
        <w:t xml:space="preserve">e.g., of </w:t>
      </w:r>
      <w:r w:rsidR="003033E8" w:rsidRPr="00A81D16">
        <w:t>our mental states’ contents</w:t>
      </w:r>
      <w:r w:rsidR="003033E8">
        <w:t>) that would</w:t>
      </w:r>
      <w:r w:rsidR="003033E8" w:rsidRPr="00A81D16">
        <w:t xml:space="preserve"> fix the meanings of our </w:t>
      </w:r>
      <w:r w:rsidR="003033E8">
        <w:t>thoughts.</w:t>
      </w:r>
      <w:r w:rsidR="003033E8">
        <w:rPr>
          <w:rStyle w:val="FootnoteReference"/>
        </w:rPr>
        <w:footnoteReference w:id="38"/>
      </w:r>
      <w:r w:rsidR="003033E8">
        <w:t xml:space="preserve"> Dennett draws upon </w:t>
      </w:r>
      <w:r w:rsidR="003033E8" w:rsidRPr="00A81D16">
        <w:t>Quine’s thesis of the indeterminacy of radical translation</w:t>
      </w:r>
      <w:r w:rsidR="003033E8">
        <w:t xml:space="preserve"> to show there will be no deeper facts that</w:t>
      </w:r>
      <w:r w:rsidR="003033E8" w:rsidRPr="00A81D16">
        <w:t xml:space="preserve"> </w:t>
      </w:r>
      <w:r w:rsidR="003033E8">
        <w:t>fix</w:t>
      </w:r>
      <w:r w:rsidR="00DB04B5">
        <w:t xml:space="preserve"> the meaning of words, or </w:t>
      </w:r>
      <w:r w:rsidR="003033E8" w:rsidRPr="00A81D16">
        <w:t>behavior</w:t>
      </w:r>
      <w:r w:rsidR="00DB04B5">
        <w:t>s</w:t>
      </w:r>
      <w:r w:rsidR="003033E8" w:rsidRPr="00A81D16">
        <w:t xml:space="preserve">, because there are </w:t>
      </w:r>
      <w:r w:rsidR="003033E8" w:rsidRPr="009B1E28">
        <w:rPr>
          <w:i/>
        </w:rPr>
        <w:t>no essences</w:t>
      </w:r>
      <w:r w:rsidR="003033E8" w:rsidRPr="00A81D16">
        <w:t xml:space="preserve"> to </w:t>
      </w:r>
      <w:r w:rsidR="003033E8">
        <w:t xml:space="preserve">do that. Therefore, </w:t>
      </w:r>
      <w:r w:rsidR="003033E8" w:rsidRPr="00A81D16">
        <w:t xml:space="preserve">Dennett </w:t>
      </w:r>
      <w:r w:rsidR="003033E8">
        <w:t>admits</w:t>
      </w:r>
      <w:r w:rsidR="003033E8" w:rsidRPr="00A81D16">
        <w:t xml:space="preserve">, </w:t>
      </w:r>
      <w:r w:rsidR="003033E8">
        <w:t>“</w:t>
      </w:r>
      <w:r w:rsidR="003033E8" w:rsidRPr="00A81D16">
        <w:t xml:space="preserve">Quine’s thesis of the indeterminacy of radical translation is thus of a </w:t>
      </w:r>
      <w:r w:rsidR="003033E8" w:rsidRPr="00A81D16">
        <w:lastRenderedPageBreak/>
        <w:t>piece with his attack on essentialism; if things had real, intrinsic essences, they could have real, intrinsic meanings</w:t>
      </w:r>
      <w:r w:rsidR="003033E8">
        <w:t>”</w:t>
      </w:r>
      <w:r w:rsidR="003033E8" w:rsidRPr="00A81D16">
        <w:t xml:space="preserve"> (Dennett 1990, 319, note 8</w:t>
      </w:r>
      <w:r w:rsidR="003033E8">
        <w:t>).</w:t>
      </w:r>
    </w:p>
    <w:p w:rsidR="002470A1" w:rsidRDefault="003033E8" w:rsidP="003033E8">
      <w:pPr>
        <w:spacing w:line="480" w:lineRule="auto"/>
        <w:ind w:firstLine="720"/>
      </w:pPr>
      <w:r>
        <w:t xml:space="preserve">But, without essences, there are no deeper facts whatsoever. Therefore, it always will be a matter of interpretation what someone meant when doing </w:t>
      </w:r>
      <w:r w:rsidRPr="003033E8">
        <w:rPr>
          <w:i/>
        </w:rPr>
        <w:t>x</w:t>
      </w:r>
      <w:r>
        <w:t xml:space="preserve">. And without any </w:t>
      </w:r>
      <w:r w:rsidR="001D3D2C">
        <w:t>deeper facts,</w:t>
      </w:r>
      <w:r>
        <w:t xml:space="preserve"> there will not be a fact to those interpretations either. Accordingly, there will be a regress of interpretations without a way to start. Further, even Dennett’s so-called “brute” facts of reality (real brains; real, objective patterns; real physical forces) would </w:t>
      </w:r>
      <w:r w:rsidR="00BD0886">
        <w:t>lack any “deeper facts” that make them what they are. Everything ends up being a construction – at best.</w:t>
      </w:r>
      <w:r w:rsidR="00422DAC" w:rsidRPr="00422DAC">
        <w:rPr>
          <w:rStyle w:val="FootnoteReference"/>
        </w:rPr>
        <w:t xml:space="preserve"> </w:t>
      </w:r>
      <w:r w:rsidR="00422DAC">
        <w:rPr>
          <w:rStyle w:val="FootnoteReference"/>
        </w:rPr>
        <w:footnoteReference w:id="39"/>
      </w:r>
    </w:p>
    <w:p w:rsidR="00422DAC" w:rsidRPr="004938F2" w:rsidRDefault="004938F2" w:rsidP="004938F2">
      <w:pPr>
        <w:spacing w:line="480" w:lineRule="auto"/>
        <w:rPr>
          <w:b/>
        </w:rPr>
      </w:pPr>
      <w:r w:rsidRPr="004938F2">
        <w:rPr>
          <w:b/>
        </w:rPr>
        <w:t>Tying the Threads Together</w:t>
      </w:r>
    </w:p>
    <w:p w:rsidR="00114C3B" w:rsidRPr="00A72774" w:rsidRDefault="00114C3B" w:rsidP="004938F2">
      <w:pPr>
        <w:spacing w:line="480" w:lineRule="auto"/>
      </w:pPr>
      <w:r>
        <w:t xml:space="preserve">There are some common threads to these </w:t>
      </w:r>
      <w:r w:rsidR="00DD0505">
        <w:t>major</w:t>
      </w:r>
      <w:r>
        <w:t>, historical</w:t>
      </w:r>
      <w:r w:rsidR="00DD0505">
        <w:t xml:space="preserve"> forms of constructivism</w:t>
      </w:r>
      <w:r>
        <w:t>. First,</w:t>
      </w:r>
      <w:r w:rsidR="00DD0505">
        <w:t xml:space="preserve"> </w:t>
      </w:r>
      <w:r>
        <w:t xml:space="preserve">all are </w:t>
      </w:r>
      <w:r w:rsidR="00DD0505">
        <w:t>nominalist. That is the case even across a range of otherwise different philosophical positions, including empiricists like Hume and Kant,</w:t>
      </w:r>
      <w:r w:rsidR="00DD0505">
        <w:rPr>
          <w:rStyle w:val="FootnoteReference"/>
        </w:rPr>
        <w:footnoteReference w:id="40"/>
      </w:r>
      <w:r w:rsidR="00DD0505">
        <w:t xml:space="preserve"> naturalists </w:t>
      </w:r>
      <w:r w:rsidR="000F6DE4">
        <w:t>like Nietzsche,</w:t>
      </w:r>
      <w:r w:rsidR="00DD0505">
        <w:t xml:space="preserve"> the logical positivists, </w:t>
      </w:r>
      <w:r w:rsidR="000F6DE4">
        <w:t>and Dennett, and</w:t>
      </w:r>
      <w:r w:rsidR="00DD0505">
        <w:t xml:space="preserve"> those like Wittgenstein and Derrida, who have helped spearhead the postmodern turn</w:t>
      </w:r>
      <w:r w:rsidR="000F6DE4">
        <w:t>.</w:t>
      </w:r>
      <w:r w:rsidR="00DD0505">
        <w:t xml:space="preserve"> </w:t>
      </w:r>
      <w:r>
        <w:t>Second</w:t>
      </w:r>
      <w:r w:rsidR="008A0640">
        <w:t xml:space="preserve">, while some are explicitly empiricist, </w:t>
      </w:r>
      <w:r w:rsidR="00DB04B5">
        <w:t xml:space="preserve">the </w:t>
      </w:r>
      <w:r>
        <w:t>others at lea</w:t>
      </w:r>
      <w:r w:rsidRPr="00A72774">
        <w:t>st have tendencies toward favoring the empiric</w:t>
      </w:r>
      <w:r w:rsidR="00DB04B5">
        <w:t>al.</w:t>
      </w:r>
      <w:r w:rsidR="00DB04B5">
        <w:rPr>
          <w:rStyle w:val="FootnoteReference"/>
        </w:rPr>
        <w:footnoteReference w:id="41"/>
      </w:r>
      <w:r w:rsidR="008A0640" w:rsidRPr="00A72774">
        <w:t xml:space="preserve"> Still, </w:t>
      </w:r>
      <w:r w:rsidR="00926FF9" w:rsidRPr="00A72774">
        <w:t xml:space="preserve">third, </w:t>
      </w:r>
      <w:r w:rsidR="008A0640" w:rsidRPr="00A72774">
        <w:t xml:space="preserve">none of them have any place for essences – either they do not exist, or, </w:t>
      </w:r>
      <w:r w:rsidR="005D28D2">
        <w:t xml:space="preserve">charitably, </w:t>
      </w:r>
      <w:r w:rsidR="008A0640" w:rsidRPr="00A72774">
        <w:t>even if they do, they do no work.</w:t>
      </w:r>
    </w:p>
    <w:p w:rsidR="00C4418B" w:rsidRPr="00A72774" w:rsidRDefault="0074489A" w:rsidP="004938F2">
      <w:pPr>
        <w:spacing w:line="480" w:lineRule="auto"/>
      </w:pPr>
      <w:r w:rsidRPr="00A72774">
        <w:tab/>
      </w:r>
      <w:r w:rsidR="00E35828">
        <w:t>These three factors work together in complex ways. Empiricism naturally suggests nominalism, and it has no place for essences. Similarly, a denial of essences suggests nominalism and empiricism.</w:t>
      </w:r>
      <w:r w:rsidR="00900545" w:rsidRPr="00A72774">
        <w:tab/>
        <w:t xml:space="preserve">If someone denies essences exist, or has no place for them to do any philosophical work, </w:t>
      </w:r>
      <w:r w:rsidR="005D28D2">
        <w:t xml:space="preserve">then </w:t>
      </w:r>
      <w:r w:rsidR="00900545" w:rsidRPr="00A72774">
        <w:t xml:space="preserve">it seems universals </w:t>
      </w:r>
      <w:r w:rsidR="006950D2" w:rsidRPr="00A72774">
        <w:t xml:space="preserve">(at least as Plato’s abstract objects, or even </w:t>
      </w:r>
      <w:r w:rsidR="006950D2" w:rsidRPr="00A72774">
        <w:lastRenderedPageBreak/>
        <w:t>Aristotle’s forms</w:t>
      </w:r>
      <w:r w:rsidR="00C46922" w:rsidRPr="00A72774">
        <w:t>, but not Armstrong’s immanent ones</w:t>
      </w:r>
      <w:r w:rsidR="006950D2" w:rsidRPr="00A72774">
        <w:t xml:space="preserve">) </w:t>
      </w:r>
      <w:r w:rsidR="00900545" w:rsidRPr="00A72774">
        <w:t>would be undercut.</w:t>
      </w:r>
      <w:r w:rsidR="00C46922" w:rsidRPr="00A72774">
        <w:t xml:space="preserve"> Moreover, withou</w:t>
      </w:r>
      <w:r w:rsidR="005D28D2">
        <w:t>t essences, it seems hard to understand</w:t>
      </w:r>
      <w:r w:rsidR="00C46922" w:rsidRPr="00A72774">
        <w:t xml:space="preserve"> how there could be any numerical identities, again pushing us to</w:t>
      </w:r>
      <w:r w:rsidR="005D28D2">
        <w:t xml:space="preserve"> </w:t>
      </w:r>
      <w:r w:rsidR="00C46922" w:rsidRPr="00A72774">
        <w:t xml:space="preserve">nominalism. </w:t>
      </w:r>
      <w:r w:rsidR="00C4418B" w:rsidRPr="00A72774">
        <w:t xml:space="preserve">And, without essences, empiricism naturally fits as </w:t>
      </w:r>
      <w:r w:rsidR="005D28D2">
        <w:t>a constructivist</w:t>
      </w:r>
      <w:r w:rsidR="00C4418B" w:rsidRPr="00A72774">
        <w:t xml:space="preserve"> epistemology.</w:t>
      </w:r>
    </w:p>
    <w:p w:rsidR="00CE18A0" w:rsidRDefault="004E23F2" w:rsidP="00CE18A0">
      <w:pPr>
        <w:spacing w:line="480" w:lineRule="auto"/>
        <w:rPr>
          <w:szCs w:val="24"/>
        </w:rPr>
      </w:pPr>
      <w:r>
        <w:rPr>
          <w:color w:val="FF0000"/>
        </w:rPr>
        <w:tab/>
      </w:r>
      <w:r w:rsidR="00926FF9" w:rsidRPr="00A72774">
        <w:t xml:space="preserve">But, </w:t>
      </w:r>
      <w:r w:rsidR="00E35828">
        <w:t>when we look historically at</w:t>
      </w:r>
      <w:r w:rsidR="00926FF9" w:rsidRPr="00A72774">
        <w:t xml:space="preserve"> </w:t>
      </w:r>
      <w:r w:rsidR="007002A3" w:rsidRPr="00A72774">
        <w:t xml:space="preserve">Ockham’s </w:t>
      </w:r>
      <w:r w:rsidR="00926FF9" w:rsidRPr="00A72774">
        <w:t xml:space="preserve">nominalism, </w:t>
      </w:r>
      <w:r w:rsidR="00DC27AA" w:rsidRPr="00A72774">
        <w:t xml:space="preserve">it is </w:t>
      </w:r>
      <w:r w:rsidR="00157D84" w:rsidRPr="00A72774">
        <w:t xml:space="preserve">fairly </w:t>
      </w:r>
      <w:r w:rsidR="00DC27AA" w:rsidRPr="00A72774">
        <w:t xml:space="preserve">easy to see how </w:t>
      </w:r>
      <w:r w:rsidR="00E35828">
        <w:t xml:space="preserve">nominalism helped lead to </w:t>
      </w:r>
      <w:r w:rsidR="00E35828" w:rsidRPr="00A72774">
        <w:t>an “anti-e</w:t>
      </w:r>
      <w:r w:rsidR="005D28D2">
        <w:t>ssentialist</w:t>
      </w:r>
      <w:r w:rsidR="00E35828" w:rsidRPr="00A72774">
        <w:t>”</w:t>
      </w:r>
      <w:r w:rsidR="00E35828">
        <w:t xml:space="preserve"> </w:t>
      </w:r>
      <w:r w:rsidR="005D28D2">
        <w:t xml:space="preserve">mindset </w:t>
      </w:r>
      <w:r w:rsidR="00E35828">
        <w:t>and empiricism</w:t>
      </w:r>
      <w:r w:rsidR="00DC27AA" w:rsidRPr="00A72774">
        <w:t>.</w:t>
      </w:r>
      <w:r w:rsidR="00157D84" w:rsidRPr="00A72774">
        <w:t xml:space="preserve"> </w:t>
      </w:r>
      <w:r w:rsidR="00581FD1" w:rsidRPr="00A72774">
        <w:t xml:space="preserve">Nominalism leads us to think that all that exists are </w:t>
      </w:r>
      <w:r w:rsidR="005D28D2">
        <w:t xml:space="preserve">non-identical </w:t>
      </w:r>
      <w:r w:rsidR="00581FD1" w:rsidRPr="00A72774">
        <w:t xml:space="preserve">particulars (particular properties, or particular, propertied-objects). </w:t>
      </w:r>
      <w:r w:rsidR="00FE1C43" w:rsidRPr="00A72774">
        <w:t>So, they would not s</w:t>
      </w:r>
      <w:r w:rsidR="00A5259C">
        <w:t xml:space="preserve">eem to have </w:t>
      </w:r>
      <w:r w:rsidR="005D28D2">
        <w:t>room</w:t>
      </w:r>
      <w:r w:rsidR="00A5259C">
        <w:t xml:space="preserve"> for essences. </w:t>
      </w:r>
      <w:r w:rsidR="007002A3" w:rsidRPr="00A72774">
        <w:t>Also, b</w:t>
      </w:r>
      <w:r w:rsidR="00581FD1" w:rsidRPr="00A72774">
        <w:t>eing particular, they woul</w:t>
      </w:r>
      <w:r w:rsidR="00FE1C43" w:rsidRPr="00A72774">
        <w:t>d be located in space and time</w:t>
      </w:r>
      <w:r w:rsidR="007002A3" w:rsidRPr="00A72774">
        <w:t xml:space="preserve">, and thus </w:t>
      </w:r>
      <w:r w:rsidR="00FE1C43" w:rsidRPr="00A72774">
        <w:t>we would tend to ex</w:t>
      </w:r>
      <w:r w:rsidR="00FE1C43" w:rsidRPr="00E35828">
        <w:rPr>
          <w:szCs w:val="24"/>
        </w:rPr>
        <w:t>pect them to be empirically accessible.</w:t>
      </w:r>
      <w:r w:rsidR="00E35828" w:rsidRPr="00E35828">
        <w:rPr>
          <w:szCs w:val="24"/>
        </w:rPr>
        <w:t xml:space="preserve"> Indeed, nominalism was reflected in Francis Bacon’s (1561-1626) atomist philosophy.</w:t>
      </w:r>
      <w:r w:rsidR="00CE18A0">
        <w:rPr>
          <w:rStyle w:val="FootnoteReference"/>
          <w:szCs w:val="24"/>
        </w:rPr>
        <w:footnoteReference w:id="42"/>
      </w:r>
      <w:r w:rsidR="00E35828" w:rsidRPr="00E35828">
        <w:rPr>
          <w:szCs w:val="24"/>
        </w:rPr>
        <w:t xml:space="preserve"> Based on that, his scientific method rejected Aristotle’s final and formal causes, both of which were immaterial and </w:t>
      </w:r>
      <w:r w:rsidR="00E35828">
        <w:rPr>
          <w:szCs w:val="24"/>
        </w:rPr>
        <w:t>tied</w:t>
      </w:r>
      <w:r w:rsidR="00E35828" w:rsidRPr="00E35828">
        <w:rPr>
          <w:szCs w:val="24"/>
        </w:rPr>
        <w:t xml:space="preserve"> to a thing’s essence, and instead stressed efficient and material causes. Influenced by his nominalism, Bacon removed </w:t>
      </w:r>
      <w:r w:rsidR="005D28D2" w:rsidRPr="00E35828">
        <w:rPr>
          <w:szCs w:val="24"/>
        </w:rPr>
        <w:t>from the practice of science</w:t>
      </w:r>
      <w:r w:rsidR="005D28D2">
        <w:rPr>
          <w:szCs w:val="24"/>
        </w:rPr>
        <w:t xml:space="preserve"> the</w:t>
      </w:r>
      <w:r w:rsidR="00E35828">
        <w:rPr>
          <w:szCs w:val="24"/>
        </w:rPr>
        <w:t>se immaterially-based causes</w:t>
      </w:r>
      <w:r w:rsidR="00E35828" w:rsidRPr="00E35828">
        <w:rPr>
          <w:szCs w:val="24"/>
        </w:rPr>
        <w:t xml:space="preserve">. </w:t>
      </w:r>
    </w:p>
    <w:p w:rsidR="008A0640" w:rsidRDefault="005D28D2" w:rsidP="00CE18A0">
      <w:pPr>
        <w:spacing w:line="480" w:lineRule="auto"/>
        <w:ind w:firstLine="720"/>
      </w:pPr>
      <w:r>
        <w:t>W</w:t>
      </w:r>
      <w:r w:rsidR="001641A2">
        <w:t>hile nominalism seems sufficient for a view to be constructivis</w:t>
      </w:r>
      <w:r w:rsidR="00CE18A0">
        <w:t>t, and problematically so,</w:t>
      </w:r>
      <w:r w:rsidR="001641A2" w:rsidRPr="00900545">
        <w:rPr>
          <w:color w:val="FF0000"/>
        </w:rPr>
        <w:t xml:space="preserve"> </w:t>
      </w:r>
      <w:r w:rsidRPr="005D28D2">
        <w:t xml:space="preserve">because it seems we cannot get started and know any qualitative facts of reality if there are no essences. And, as simples, there are no qualitative facts to be known. </w:t>
      </w:r>
      <w:r>
        <w:t>However</w:t>
      </w:r>
      <w:r w:rsidRPr="005D28D2">
        <w:t>, nominalism</w:t>
      </w:r>
      <w:r w:rsidR="001641A2" w:rsidRPr="005D28D2">
        <w:t xml:space="preserve"> </w:t>
      </w:r>
      <w:r w:rsidR="001641A2">
        <w:t xml:space="preserve">does not seem to be </w:t>
      </w:r>
      <w:r w:rsidR="008B767F">
        <w:t>necessary</w:t>
      </w:r>
      <w:r>
        <w:t xml:space="preserve"> for constructivism</w:t>
      </w:r>
      <w:r w:rsidR="001641A2">
        <w:t>.</w:t>
      </w:r>
      <w:r w:rsidR="00900545">
        <w:rPr>
          <w:rStyle w:val="FootnoteReference"/>
        </w:rPr>
        <w:footnoteReference w:id="43"/>
      </w:r>
      <w:r w:rsidR="008B767F">
        <w:t xml:space="preserve"> </w:t>
      </w:r>
      <w:r w:rsidR="008B0A17">
        <w:t xml:space="preserve">I have argued elsewhere that naturalism in general is a constructivist view. </w:t>
      </w:r>
      <w:r w:rsidR="005F4432">
        <w:t>Yet</w:t>
      </w:r>
      <w:bookmarkStart w:id="0" w:name="_GoBack"/>
      <w:bookmarkEnd w:id="0"/>
      <w:r w:rsidR="008B0A17">
        <w:t xml:space="preserve">, not every naturalist is a nominalist. Consider D.M. Armstrong, who was a materialist and an immanent realist. </w:t>
      </w:r>
      <w:r w:rsidR="00A94206">
        <w:t xml:space="preserve">He thus accepted the reality of universals, though they </w:t>
      </w:r>
      <w:r w:rsidR="00A94206">
        <w:lastRenderedPageBreak/>
        <w:t xml:space="preserve">must be accounted for in a materialist ontology. Arguably, his view is constructivist, </w:t>
      </w:r>
      <w:r w:rsidR="00900545">
        <w:t>but as I argue elsewhere, it is because he embraces materialism and thus denies essences.</w:t>
      </w:r>
      <w:r w:rsidR="00900545">
        <w:rPr>
          <w:rStyle w:val="FootnoteReference"/>
        </w:rPr>
        <w:footnoteReference w:id="44"/>
      </w:r>
    </w:p>
    <w:p w:rsidR="00BD4FBA" w:rsidRDefault="0069015E" w:rsidP="00211C13">
      <w:pPr>
        <w:spacing w:line="480" w:lineRule="auto"/>
      </w:pPr>
      <w:r>
        <w:tab/>
        <w:t>So, Willard’s point</w:t>
      </w:r>
      <w:r w:rsidR="005D28D2">
        <w:t xml:space="preserve"> seems right</w:t>
      </w:r>
      <w:r>
        <w:t xml:space="preserve">, that the breakdown in our being able to make good on our knowledge claims </w:t>
      </w:r>
      <w:r w:rsidR="00F929FE">
        <w:t xml:space="preserve">(due to the pervasive effects of constructivist epistemologies) </w:t>
      </w:r>
      <w:r>
        <w:t>is</w:t>
      </w:r>
      <w:r w:rsidR="005D28D2">
        <w:t xml:space="preserve"> due to a breakdown in ontology</w:t>
      </w:r>
      <w:r>
        <w:t xml:space="preserve">. Historically speaking, it seems that that breakdown can be </w:t>
      </w:r>
      <w:r w:rsidR="005D28D2">
        <w:t xml:space="preserve">linked and </w:t>
      </w:r>
      <w:r>
        <w:t>traced to the ascendancy of nominalism in western philosophy.</w:t>
      </w:r>
    </w:p>
    <w:sectPr w:rsidR="00BD4F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BD" w:rsidRDefault="005660BD" w:rsidP="00DD5E85">
      <w:r>
        <w:separator/>
      </w:r>
    </w:p>
  </w:endnote>
  <w:endnote w:type="continuationSeparator" w:id="0">
    <w:p w:rsidR="005660BD" w:rsidRDefault="005660BD" w:rsidP="00DD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BD" w:rsidRDefault="005660BD" w:rsidP="00DD5E85">
      <w:r>
        <w:separator/>
      </w:r>
    </w:p>
  </w:footnote>
  <w:footnote w:type="continuationSeparator" w:id="0">
    <w:p w:rsidR="005660BD" w:rsidRDefault="005660BD" w:rsidP="00DD5E85">
      <w:r>
        <w:continuationSeparator/>
      </w:r>
    </w:p>
  </w:footnote>
  <w:footnote w:id="1">
    <w:p w:rsidR="00793CA9" w:rsidRPr="00B54AFB" w:rsidRDefault="00793CA9" w:rsidP="007B6FBD">
      <w:pPr>
        <w:pStyle w:val="FootnoteText"/>
        <w:ind w:firstLine="720"/>
        <w:rPr>
          <w:color w:val="FF0000"/>
        </w:rPr>
      </w:pPr>
      <w:r>
        <w:rPr>
          <w:rStyle w:val="FootnoteReference"/>
        </w:rPr>
        <w:footnoteRef/>
      </w:r>
      <w:r>
        <w:t xml:space="preserve"> </w:t>
      </w:r>
      <w:r w:rsidRPr="00B54AFB">
        <w:rPr>
          <w:color w:val="FF0000"/>
        </w:rPr>
        <w:t>I am bracketing God from such discussions; for theists, they may limit this claim to creation.</w:t>
      </w:r>
    </w:p>
  </w:footnote>
  <w:footnote w:id="2">
    <w:p w:rsidR="00A5259C" w:rsidRDefault="00A5259C" w:rsidP="007B6FBD">
      <w:pPr>
        <w:pStyle w:val="FootnoteText"/>
        <w:ind w:firstLine="720"/>
      </w:pPr>
      <w:r>
        <w:rPr>
          <w:rStyle w:val="FootnoteReference"/>
        </w:rPr>
        <w:footnoteRef/>
      </w:r>
      <w:r>
        <w:t xml:space="preserve"> See my “Thinking About Particulars,” Evangelical Philosophical Society national conference presentation, 2015, in Atlanta, GA.</w:t>
      </w:r>
    </w:p>
  </w:footnote>
  <w:footnote w:id="3">
    <w:p w:rsidR="005F4432" w:rsidRDefault="005F4432" w:rsidP="005F4432">
      <w:pPr>
        <w:pStyle w:val="FootnoteText"/>
        <w:ind w:firstLine="720"/>
      </w:pPr>
      <w:r>
        <w:rPr>
          <w:rStyle w:val="FootnoteReference"/>
        </w:rPr>
        <w:footnoteRef/>
      </w:r>
      <w:r>
        <w:t xml:space="preserve"> See my “</w:t>
      </w:r>
      <w:r w:rsidRPr="00D35544">
        <w:t>Craig’s Nominalism and the High C</w:t>
      </w:r>
      <w:r>
        <w:t>ost of Preserving Divine Aseity,” f</w:t>
      </w:r>
      <w:r w:rsidRPr="00D35544">
        <w:t xml:space="preserve">orthcoming, </w:t>
      </w:r>
      <w:r w:rsidRPr="00D35544">
        <w:rPr>
          <w:i/>
        </w:rPr>
        <w:t>European Journal for Philosophy of Religion</w:t>
      </w:r>
      <w:r w:rsidRPr="00D35544">
        <w:t xml:space="preserve"> (2016).</w:t>
      </w:r>
    </w:p>
  </w:footnote>
  <w:footnote w:id="4">
    <w:p w:rsidR="00793CA9" w:rsidRPr="000D322B" w:rsidRDefault="00793CA9" w:rsidP="007B6FBD">
      <w:pPr>
        <w:pStyle w:val="FootnoteText"/>
        <w:ind w:firstLine="720"/>
        <w:rPr>
          <w:rFonts w:cs="Times New Roman"/>
        </w:rPr>
      </w:pPr>
      <w:r w:rsidRPr="000D322B">
        <w:rPr>
          <w:rStyle w:val="FootnoteReference"/>
          <w:rFonts w:cs="Times New Roman"/>
        </w:rPr>
        <w:footnoteRef/>
      </w:r>
      <w:r w:rsidRPr="000D322B">
        <w:rPr>
          <w:rFonts w:cs="Times New Roman"/>
        </w:rPr>
        <w:t xml:space="preserve"> </w:t>
      </w:r>
      <w:r w:rsidR="000D322B" w:rsidRPr="000D322B">
        <w:rPr>
          <w:rFonts w:cs="Times New Roman"/>
        </w:rPr>
        <w:t xml:space="preserve">E.g., see his various discussions of a “Midas Touch” epistemology, such as "Predication as Originary Violence: A Phenomenological Critique of Derrida's View of Intentionality," in </w:t>
      </w:r>
      <w:r w:rsidR="000D322B" w:rsidRPr="000D322B">
        <w:rPr>
          <w:rFonts w:cs="Times New Roman"/>
          <w:i/>
        </w:rPr>
        <w:t>Working through Derrida</w:t>
      </w:r>
      <w:r w:rsidR="000D322B" w:rsidRPr="000D322B">
        <w:rPr>
          <w:rFonts w:cs="Times New Roman"/>
        </w:rPr>
        <w:t>, Gary B. Madison, ed., (Evanston IL: Northwestern University Press, 1993), 120-136.</w:t>
      </w:r>
    </w:p>
  </w:footnote>
  <w:footnote w:id="5">
    <w:p w:rsidR="00793CA9" w:rsidRDefault="00793CA9" w:rsidP="007B6FBD">
      <w:pPr>
        <w:pStyle w:val="FootnoteText"/>
        <w:ind w:firstLine="720"/>
      </w:pPr>
      <w:r>
        <w:rPr>
          <w:rStyle w:val="FootnoteReference"/>
        </w:rPr>
        <w:footnoteRef/>
      </w:r>
      <w:r>
        <w:t xml:space="preserve">John Locke, </w:t>
      </w:r>
      <w:r>
        <w:rPr>
          <w:i/>
        </w:rPr>
        <w:t>An Essay Concerning Human Understanding</w:t>
      </w:r>
      <w:r>
        <w:t>, ed. John W. Yolton (London: J. M. Dent &amp; Sons Ltd., 1976), 45.</w:t>
      </w:r>
    </w:p>
    <w:p w:rsidR="00793CA9" w:rsidRDefault="00793CA9" w:rsidP="007B6FBD">
      <w:pPr>
        <w:pStyle w:val="FootnoteText"/>
        <w:ind w:firstLine="720"/>
      </w:pPr>
    </w:p>
  </w:footnote>
  <w:footnote w:id="6">
    <w:p w:rsidR="00793CA9" w:rsidRDefault="00793CA9" w:rsidP="007B6FBD">
      <w:pPr>
        <w:pStyle w:val="FootnoteText"/>
        <w:ind w:firstLine="720"/>
      </w:pPr>
      <w:r>
        <w:rPr>
          <w:rStyle w:val="FootnoteReference"/>
        </w:rPr>
        <w:footnoteRef/>
      </w:r>
      <w:r>
        <w:t xml:space="preserve">David Hume, </w:t>
      </w:r>
      <w:r>
        <w:rPr>
          <w:i/>
        </w:rPr>
        <w:t>A Treatise of Human Nature</w:t>
      </w:r>
      <w:r>
        <w:t>, ed. Ernest C. Mossner (Baltimore: Penguin Books, 1969), 247-48.</w:t>
      </w:r>
    </w:p>
  </w:footnote>
  <w:footnote w:id="7">
    <w:p w:rsidR="00793CA9" w:rsidRDefault="00793CA9" w:rsidP="007B6FBD">
      <w:pPr>
        <w:pStyle w:val="FootnoteText"/>
        <w:ind w:firstLine="720"/>
      </w:pPr>
      <w:r>
        <w:rPr>
          <w:rStyle w:val="FootnoteReference"/>
        </w:rPr>
        <w:footnoteRef/>
      </w:r>
      <w:r>
        <w:t>Ibid., 249 (emphasis added).</w:t>
      </w:r>
    </w:p>
  </w:footnote>
  <w:footnote w:id="8">
    <w:p w:rsidR="00793CA9" w:rsidRDefault="00793CA9" w:rsidP="007B6FBD">
      <w:pPr>
        <w:pStyle w:val="FootnoteText"/>
        <w:ind w:firstLine="720"/>
      </w:pPr>
      <w:r>
        <w:rPr>
          <w:rStyle w:val="FootnoteReference"/>
        </w:rPr>
        <w:footnoteRef/>
      </w:r>
      <w:r>
        <w:t xml:space="preserve"> Immanuel Kant, </w:t>
      </w:r>
      <w:r w:rsidRPr="00AD36CE">
        <w:rPr>
          <w:i/>
        </w:rPr>
        <w:t>The Critique of Pure Reason</w:t>
      </w:r>
      <w:r>
        <w:t xml:space="preserve">, Introduction, I, </w:t>
      </w:r>
      <w:r w:rsidRPr="005732BD">
        <w:rPr>
          <w:rFonts w:cs="Times New Roman"/>
        </w:rPr>
        <w:t xml:space="preserve">trans. and ed. by Carl J. Friedrich, </w:t>
      </w:r>
      <w:r>
        <w:rPr>
          <w:rFonts w:cs="Times New Roman"/>
        </w:rPr>
        <w:t xml:space="preserve">in </w:t>
      </w:r>
      <w:r w:rsidRPr="005732BD">
        <w:rPr>
          <w:rFonts w:cs="Times New Roman"/>
          <w:i/>
        </w:rPr>
        <w:t>The Philosophy of Kant</w:t>
      </w:r>
      <w:r>
        <w:rPr>
          <w:rFonts w:cs="Times New Roman"/>
          <w:i/>
        </w:rPr>
        <w:t>: Immanuel Kant’s Moral and Political Writings</w:t>
      </w:r>
      <w:r w:rsidRPr="005732BD">
        <w:rPr>
          <w:rFonts w:cs="Times New Roman"/>
        </w:rPr>
        <w:t xml:space="preserve"> (New York: The Modern Library, 1993)</w:t>
      </w:r>
      <w:r w:rsidR="00D745A5">
        <w:rPr>
          <w:rFonts w:cs="Times New Roman"/>
        </w:rPr>
        <w:t xml:space="preserve">, </w:t>
      </w:r>
      <w:r>
        <w:rPr>
          <w:rFonts w:cs="Times New Roman"/>
        </w:rPr>
        <w:t>25.</w:t>
      </w:r>
    </w:p>
  </w:footnote>
  <w:footnote w:id="9">
    <w:p w:rsidR="00793CA9" w:rsidRDefault="00793CA9" w:rsidP="007B6FBD">
      <w:pPr>
        <w:pStyle w:val="FootnoteText"/>
        <w:ind w:firstLine="720"/>
      </w:pPr>
      <w:r>
        <w:rPr>
          <w:rStyle w:val="FootnoteReference"/>
        </w:rPr>
        <w:footnoteRef/>
      </w:r>
      <w:r>
        <w:t xml:space="preserve"> Kant, </w:t>
      </w:r>
      <w:r w:rsidRPr="00AD36CE">
        <w:rPr>
          <w:i/>
        </w:rPr>
        <w:t>The Critique of Pure Reason</w:t>
      </w:r>
      <w:r>
        <w:t xml:space="preserve">, Introduction, I, </w:t>
      </w:r>
      <w:r>
        <w:rPr>
          <w:rFonts w:cs="Times New Roman"/>
        </w:rPr>
        <w:t xml:space="preserve">trans. and ed. by </w:t>
      </w:r>
      <w:r w:rsidRPr="005732BD">
        <w:rPr>
          <w:rFonts w:cs="Times New Roman"/>
        </w:rPr>
        <w:t>Friedrich</w:t>
      </w:r>
      <w:r w:rsidR="00D745A5">
        <w:rPr>
          <w:rFonts w:cs="Times New Roman"/>
        </w:rPr>
        <w:t xml:space="preserve">, </w:t>
      </w:r>
      <w:r>
        <w:rPr>
          <w:rFonts w:cs="Times New Roman"/>
        </w:rPr>
        <w:t>26.</w:t>
      </w:r>
    </w:p>
  </w:footnote>
  <w:footnote w:id="10">
    <w:p w:rsidR="00793CA9" w:rsidRDefault="00793CA9" w:rsidP="007B6FBD">
      <w:pPr>
        <w:pStyle w:val="FootnoteText"/>
        <w:ind w:firstLine="720"/>
      </w:pPr>
      <w:r>
        <w:rPr>
          <w:rStyle w:val="FootnoteReference"/>
        </w:rPr>
        <w:footnoteRef/>
      </w:r>
      <w:r>
        <w:t xml:space="preserve"> Ibid. These included a</w:t>
      </w:r>
      <w:r w:rsidRPr="003F5B28">
        <w:t xml:space="preserve">nalytic </w:t>
      </w:r>
      <w:r w:rsidRPr="00D364AB">
        <w:rPr>
          <w:i/>
          <w:iCs/>
        </w:rPr>
        <w:t>a priori</w:t>
      </w:r>
      <w:r w:rsidRPr="003F5B28">
        <w:rPr>
          <w:iCs/>
        </w:rPr>
        <w:t xml:space="preserve"> </w:t>
      </w:r>
      <w:r w:rsidRPr="003F5B28">
        <w:t>truths</w:t>
      </w:r>
      <w:r w:rsidRPr="003F5B28">
        <w:rPr>
          <w:i/>
          <w:iCs/>
        </w:rPr>
        <w:t xml:space="preserve"> </w:t>
      </w:r>
      <w:r>
        <w:rPr>
          <w:i/>
          <w:iCs/>
        </w:rPr>
        <w:t>(</w:t>
      </w:r>
      <w:r w:rsidRPr="003F5B28">
        <w:t>true by definition</w:t>
      </w:r>
      <w:r>
        <w:t xml:space="preserve">) and </w:t>
      </w:r>
      <w:r w:rsidRPr="003F5B28">
        <w:t xml:space="preserve">synthetic </w:t>
      </w:r>
      <w:r w:rsidRPr="00D364AB">
        <w:rPr>
          <w:i/>
          <w:iCs/>
        </w:rPr>
        <w:t>a priori</w:t>
      </w:r>
      <w:r w:rsidRPr="003F5B28">
        <w:t xml:space="preserve"> trut</w:t>
      </w:r>
      <w:r>
        <w:t>hs (</w:t>
      </w:r>
      <w:r w:rsidRPr="003F5B28">
        <w:t xml:space="preserve">true </w:t>
      </w:r>
      <w:r>
        <w:t>due to</w:t>
      </w:r>
      <w:r w:rsidRPr="003F5B28">
        <w:t xml:space="preserve"> how the world is</w:t>
      </w:r>
      <w:r>
        <w:t>). So</w:t>
      </w:r>
      <w:r w:rsidRPr="003F5B28">
        <w:t xml:space="preserve">, for </w:t>
      </w:r>
      <w:r>
        <w:t>him</w:t>
      </w:r>
      <w:r w:rsidRPr="003F5B28">
        <w:t>, there are certain truths that are necessary and universal</w:t>
      </w:r>
      <w:r>
        <w:t>.</w:t>
      </w:r>
    </w:p>
  </w:footnote>
  <w:footnote w:id="11">
    <w:p w:rsidR="00793CA9" w:rsidRDefault="00793CA9" w:rsidP="007B6FBD">
      <w:pPr>
        <w:pStyle w:val="FootnoteText"/>
        <w:ind w:firstLine="720"/>
      </w:pPr>
      <w:r>
        <w:rPr>
          <w:rStyle w:val="FootnoteReference"/>
        </w:rPr>
        <w:footnoteRef/>
      </w:r>
      <w:r>
        <w:t xml:space="preserve">Immanuel Kant, “Prolegomena to Every Future Metaphysics that may be Presented as a Science,” </w:t>
      </w:r>
      <w:r>
        <w:rPr>
          <w:i/>
        </w:rPr>
        <w:t>The Philosophy of Kant</w:t>
      </w:r>
      <w:r>
        <w:t>, ed. Carl J. Friedrich (New York: The Modern Library, 1993), 88. These are the categories, including, for example, causality, substance, unity and modality.</w:t>
      </w:r>
    </w:p>
  </w:footnote>
  <w:footnote w:id="12">
    <w:p w:rsidR="00793CA9" w:rsidRDefault="00793CA9" w:rsidP="007B6FBD">
      <w:pPr>
        <w:pStyle w:val="FootnoteText"/>
        <w:ind w:firstLine="720"/>
      </w:pPr>
      <w:r>
        <w:rPr>
          <w:rStyle w:val="FootnoteReference"/>
        </w:rPr>
        <w:footnoteRef/>
      </w:r>
      <w:r>
        <w:t xml:space="preserve"> Immanuel Kant, </w:t>
      </w:r>
      <w:r w:rsidRPr="00AD36CE">
        <w:rPr>
          <w:i/>
        </w:rPr>
        <w:t>The Critique of Pure Reason</w:t>
      </w:r>
      <w:r>
        <w:t>, ch. III.</w:t>
      </w:r>
    </w:p>
  </w:footnote>
  <w:footnote w:id="13">
    <w:p w:rsidR="00793CA9" w:rsidRDefault="00793CA9" w:rsidP="007B6FBD">
      <w:pPr>
        <w:pStyle w:val="FootnoteText"/>
        <w:ind w:firstLine="720"/>
      </w:pPr>
      <w:r>
        <w:rPr>
          <w:rStyle w:val="FootnoteReference"/>
        </w:rPr>
        <w:footnoteRef/>
      </w:r>
      <w:r>
        <w:t xml:space="preserve"> </w:t>
      </w:r>
      <w:r w:rsidR="00D745A5">
        <w:t>Still, Kant made an exception for morals due to how he conceived of them as categorical imperatives, which, to be absolutes, would have to come from the realm that is unchanging – the noumena.</w:t>
      </w:r>
    </w:p>
  </w:footnote>
  <w:footnote w:id="14">
    <w:p w:rsidR="00793CA9" w:rsidRDefault="00793CA9" w:rsidP="007B6FBD">
      <w:pPr>
        <w:pStyle w:val="FootnoteText"/>
        <w:ind w:firstLine="720"/>
      </w:pPr>
      <w:r>
        <w:rPr>
          <w:rStyle w:val="FootnoteReference"/>
        </w:rPr>
        <w:footnoteRef/>
      </w:r>
      <w:r>
        <w:t xml:space="preserve"> Kant, </w:t>
      </w:r>
      <w:r w:rsidRPr="00AD36CE">
        <w:rPr>
          <w:i/>
        </w:rPr>
        <w:t>The Critique of Pure Reason</w:t>
      </w:r>
      <w:r>
        <w:t>, ch. I, sec. 3.</w:t>
      </w:r>
    </w:p>
  </w:footnote>
  <w:footnote w:id="15">
    <w:p w:rsidR="00793CA9" w:rsidRDefault="00793CA9" w:rsidP="007B6FBD">
      <w:pPr>
        <w:pStyle w:val="FootnoteText"/>
        <w:ind w:firstLine="720"/>
      </w:pPr>
      <w:r>
        <w:rPr>
          <w:rStyle w:val="FootnoteReference"/>
        </w:rPr>
        <w:footnoteRef/>
      </w:r>
      <w:r>
        <w:t xml:space="preserve"> Ibid., ch. II, sec. 2. Clearly, this is not a metaphysically objective world, however, but a common one that we can know. Moreover, the transcendent self seems to be a posit, since we cannot know it empirically.</w:t>
      </w:r>
    </w:p>
  </w:footnote>
  <w:footnote w:id="16">
    <w:p w:rsidR="00793CA9" w:rsidRDefault="00793CA9" w:rsidP="007B6FBD">
      <w:pPr>
        <w:pStyle w:val="FootnoteText"/>
        <w:ind w:firstLine="720"/>
      </w:pPr>
      <w:r>
        <w:rPr>
          <w:rStyle w:val="FootnoteReference"/>
        </w:rPr>
        <w:footnoteRef/>
      </w:r>
      <w:r>
        <w:t xml:space="preserve"> Friedrich Nietzsche, “Life, Knowledge, and Self-Consciousness,” selection from </w:t>
      </w:r>
      <w:r w:rsidRPr="00E71798">
        <w:rPr>
          <w:i/>
        </w:rPr>
        <w:t>The Joyful Wisdom</w:t>
      </w:r>
      <w:r>
        <w:t xml:space="preserve">, in </w:t>
      </w:r>
      <w:r w:rsidRPr="00E71798">
        <w:rPr>
          <w:i/>
        </w:rPr>
        <w:t>Nineteenth-Century Philosophy</w:t>
      </w:r>
      <w:r>
        <w:t>, ed. Patrick Gardiner (New York: The Free Press, 1969)</w:t>
      </w:r>
      <w:r w:rsidR="00D745A5">
        <w:t xml:space="preserve">, </w:t>
      </w:r>
      <w:r>
        <w:t>326.</w:t>
      </w:r>
    </w:p>
  </w:footnote>
  <w:footnote w:id="17">
    <w:p w:rsidR="00793CA9" w:rsidRDefault="00793CA9" w:rsidP="007B6FBD">
      <w:pPr>
        <w:pStyle w:val="FootnoteText"/>
        <w:ind w:firstLine="720"/>
      </w:pPr>
      <w:r>
        <w:rPr>
          <w:rStyle w:val="FootnoteReference"/>
        </w:rPr>
        <w:footnoteRef/>
      </w:r>
      <w:r>
        <w:t xml:space="preserve"> On substances, see Ibid.</w:t>
      </w:r>
      <w:r w:rsidR="00D745A5">
        <w:t xml:space="preserve">, </w:t>
      </w:r>
      <w:r>
        <w:t xml:space="preserve">324. For the quote, see “Prejudices of Philosophers,” selection from </w:t>
      </w:r>
      <w:r w:rsidRPr="00761A1C">
        <w:rPr>
          <w:i/>
        </w:rPr>
        <w:t>Beyond Good and Evil</w:t>
      </w:r>
      <w:r>
        <w:t xml:space="preserve">, in </w:t>
      </w:r>
      <w:r w:rsidRPr="00761A1C">
        <w:rPr>
          <w:i/>
        </w:rPr>
        <w:t>Nineteenth-C</w:t>
      </w:r>
      <w:r w:rsidRPr="00E71798">
        <w:rPr>
          <w:i/>
        </w:rPr>
        <w:t>entury Philosophy</w:t>
      </w:r>
      <w:r>
        <w:t>, ed. Patrick Gardiner (New York: The Free Press, 1969)</w:t>
      </w:r>
      <w:r w:rsidR="00D745A5">
        <w:t xml:space="preserve">, </w:t>
      </w:r>
      <w:r>
        <w:t>341.</w:t>
      </w:r>
    </w:p>
  </w:footnote>
  <w:footnote w:id="18">
    <w:p w:rsidR="00793CA9" w:rsidRDefault="00793CA9" w:rsidP="007B6FBD">
      <w:pPr>
        <w:pStyle w:val="FootnoteText"/>
        <w:ind w:firstLine="720"/>
      </w:pPr>
      <w:r>
        <w:rPr>
          <w:rStyle w:val="FootnoteReference"/>
        </w:rPr>
        <w:footnoteRef/>
      </w:r>
      <w:r>
        <w:t xml:space="preserve"> Nietzsche,</w:t>
      </w:r>
      <w:r w:rsidR="00D745A5">
        <w:t xml:space="preserve"> “Prejudices of Philosophers,” </w:t>
      </w:r>
      <w:r>
        <w:t>332, 336.</w:t>
      </w:r>
    </w:p>
  </w:footnote>
  <w:footnote w:id="19">
    <w:p w:rsidR="00793CA9" w:rsidRDefault="00793CA9" w:rsidP="007B6FBD">
      <w:pPr>
        <w:pStyle w:val="FootnoteText"/>
        <w:ind w:firstLine="720"/>
      </w:pPr>
      <w:r>
        <w:rPr>
          <w:rStyle w:val="FootnoteReference"/>
        </w:rPr>
        <w:footnoteRef/>
      </w:r>
      <w:r>
        <w:t xml:space="preserve"> Ibid.</w:t>
      </w:r>
      <w:r w:rsidR="00D745A5">
        <w:t xml:space="preserve">, </w:t>
      </w:r>
      <w:r>
        <w:t>338 (my emphasis added to “grammatical”).</w:t>
      </w:r>
    </w:p>
  </w:footnote>
  <w:footnote w:id="20">
    <w:p w:rsidR="00793CA9" w:rsidRDefault="00793CA9" w:rsidP="007B6FBD">
      <w:pPr>
        <w:pStyle w:val="FootnoteText"/>
        <w:ind w:firstLine="720"/>
      </w:pPr>
      <w:r>
        <w:rPr>
          <w:rStyle w:val="FootnoteReference"/>
        </w:rPr>
        <w:footnoteRef/>
      </w:r>
      <w:r>
        <w:t xml:space="preserve"> Ibid.</w:t>
      </w:r>
      <w:r w:rsidR="00D745A5">
        <w:t xml:space="preserve">, </w:t>
      </w:r>
      <w:r>
        <w:t>335.</w:t>
      </w:r>
    </w:p>
  </w:footnote>
  <w:footnote w:id="21">
    <w:p w:rsidR="00793CA9" w:rsidRDefault="00793CA9" w:rsidP="007B6FBD">
      <w:pPr>
        <w:pStyle w:val="FootnoteText"/>
        <w:ind w:firstLine="720"/>
      </w:pPr>
      <w:r>
        <w:rPr>
          <w:rStyle w:val="FootnoteReference"/>
        </w:rPr>
        <w:footnoteRef/>
      </w:r>
      <w:r>
        <w:t xml:space="preserve"> See this description in Richard Schacht, “Nietzsche, Friedrich Wilhelm,” in </w:t>
      </w:r>
      <w:r w:rsidRPr="0031398B">
        <w:rPr>
          <w:i/>
        </w:rPr>
        <w:t>The Cambridge Dictionary of Philosophy</w:t>
      </w:r>
      <w:r>
        <w:t>, 2</w:t>
      </w:r>
      <w:r w:rsidRPr="00796C2A">
        <w:rPr>
          <w:vertAlign w:val="superscript"/>
        </w:rPr>
        <w:t>nd</w:t>
      </w:r>
      <w:r>
        <w:t xml:space="preserve"> ed., ed. Robert Audi (New York: Cambridge University Press, 1999)</w:t>
      </w:r>
      <w:r w:rsidR="00D745A5">
        <w:t xml:space="preserve">, </w:t>
      </w:r>
      <w:r>
        <w:t>615 (emphasis added).</w:t>
      </w:r>
    </w:p>
  </w:footnote>
  <w:footnote w:id="22">
    <w:p w:rsidR="00793CA9" w:rsidRDefault="00793CA9" w:rsidP="007B6FBD">
      <w:pPr>
        <w:pStyle w:val="FootnoteText"/>
        <w:ind w:firstLine="720"/>
      </w:pPr>
      <w:r>
        <w:rPr>
          <w:rStyle w:val="FootnoteReference"/>
        </w:rPr>
        <w:footnoteRef/>
      </w:r>
      <w:r>
        <w:t xml:space="preserve"> Of course, this is not to say that we do not do many other things with words. </w:t>
      </w:r>
      <w:r w:rsidR="00E03B28">
        <w:t>This has been a good emphasis of</w:t>
      </w:r>
      <w:r>
        <w:t xml:space="preserve"> many authors, including J.L. Austin and his work on speech-act theory, </w:t>
      </w:r>
      <w:r w:rsidRPr="00202C83">
        <w:rPr>
          <w:i/>
        </w:rPr>
        <w:t>How to Do Things with Words</w:t>
      </w:r>
      <w:r>
        <w:t xml:space="preserve">, eds. J.O. Urmson and Marina </w:t>
      </w:r>
      <w:hyperlink r:id="rId1" w:history="1">
        <w:r w:rsidRPr="00202C83">
          <w:rPr>
            <w:rStyle w:val="Hyperlink"/>
            <w:rFonts w:cs="Times New Roman"/>
            <w:color w:val="auto"/>
          </w:rPr>
          <w:t>Sbisà</w:t>
        </w:r>
      </w:hyperlink>
      <w:r>
        <w:t>, 2</w:t>
      </w:r>
      <w:r w:rsidRPr="00202C83">
        <w:rPr>
          <w:vertAlign w:val="superscript"/>
        </w:rPr>
        <w:t>nd</w:t>
      </w:r>
      <w:r>
        <w:t xml:space="preserve"> ed. (Oxford, UK: Clarendon Press, 1975).</w:t>
      </w:r>
    </w:p>
  </w:footnote>
  <w:footnote w:id="23">
    <w:p w:rsidR="00793CA9" w:rsidRDefault="00793CA9" w:rsidP="007B6FBD">
      <w:pPr>
        <w:pStyle w:val="FootnoteText"/>
        <w:ind w:firstLine="720"/>
      </w:pPr>
      <w:r>
        <w:rPr>
          <w:rStyle w:val="FootnoteReference"/>
        </w:rPr>
        <w:footnoteRef/>
      </w:r>
      <w:r>
        <w:t xml:space="preserve"> Of course, once people realized that the verifiability criterion could not meet its own criteria, it self-destructed. But, that did not mean an end to an empirical focus upon what is knowable or meaningful, or of all that the logical positivists emphasized. The urge to find a naturalistic basis for meanings remains strong. </w:t>
      </w:r>
    </w:p>
  </w:footnote>
  <w:footnote w:id="24">
    <w:p w:rsidR="00793CA9" w:rsidRDefault="00793CA9" w:rsidP="007B6FBD">
      <w:pPr>
        <w:pStyle w:val="FootnoteText"/>
        <w:ind w:firstLine="720"/>
      </w:pPr>
      <w:r>
        <w:rPr>
          <w:rStyle w:val="FootnoteReference"/>
        </w:rPr>
        <w:footnoteRef/>
      </w:r>
      <w:r>
        <w:t xml:space="preserve">Ludwig Wittgenstein, </w:t>
      </w:r>
      <w:r>
        <w:rPr>
          <w:i/>
        </w:rPr>
        <w:t>Philosophical Investigations</w:t>
      </w:r>
      <w:r>
        <w:t xml:space="preserve">. 3d ed., ed. G.E. M. Anscombe and Rush Rhees, trans. by G.E. M. Anscombe (New York: The Macmillan Company, 1958), §65. </w:t>
      </w:r>
    </w:p>
  </w:footnote>
  <w:footnote w:id="25">
    <w:p w:rsidR="00793CA9" w:rsidRDefault="00793CA9" w:rsidP="007B6FBD">
      <w:pPr>
        <w:pStyle w:val="FootnoteText"/>
        <w:ind w:firstLine="720"/>
      </w:pPr>
      <w:r>
        <w:rPr>
          <w:rStyle w:val="FootnoteReference"/>
        </w:rPr>
        <w:footnoteRef/>
      </w:r>
      <w:r>
        <w:t xml:space="preserve">Brad J. Kallenberg, </w:t>
      </w:r>
      <w:r>
        <w:rPr>
          <w:i/>
          <w:iCs/>
        </w:rPr>
        <w:t>Ethics as Grammar: Changing the Postmodern Subject</w:t>
      </w:r>
      <w:r>
        <w:t xml:space="preserve"> (Notre Dame: University of Notre Dame Press, 2001), 212.</w:t>
      </w:r>
    </w:p>
  </w:footnote>
  <w:footnote w:id="26">
    <w:p w:rsidR="00793CA9" w:rsidRDefault="00793CA9" w:rsidP="007B6FBD">
      <w:pPr>
        <w:pStyle w:val="FootnoteText"/>
        <w:ind w:firstLine="720"/>
      </w:pPr>
      <w:r>
        <w:rPr>
          <w:rStyle w:val="FootnoteReference"/>
        </w:rPr>
        <w:footnoteRef/>
      </w:r>
      <w:r>
        <w:t xml:space="preserve">Wittgenstein, </w:t>
      </w:r>
      <w:r>
        <w:rPr>
          <w:i/>
        </w:rPr>
        <w:t>Philosophical Investigations</w:t>
      </w:r>
      <w:r>
        <w:t>, §109.</w:t>
      </w:r>
    </w:p>
  </w:footnote>
  <w:footnote w:id="27">
    <w:p w:rsidR="00793CA9" w:rsidRDefault="00793CA9" w:rsidP="00EB2D9A">
      <w:pPr>
        <w:pStyle w:val="FootnoteText"/>
        <w:ind w:firstLine="720"/>
      </w:pPr>
      <w:r>
        <w:rPr>
          <w:rStyle w:val="FootnoteReference"/>
        </w:rPr>
        <w:footnoteRef/>
      </w:r>
      <w:r>
        <w:t xml:space="preserve">Kallenberg, </w:t>
      </w:r>
      <w:r>
        <w:rPr>
          <w:i/>
          <w:iCs/>
        </w:rPr>
        <w:t>Ethics as Grammar</w:t>
      </w:r>
      <w:r w:rsidR="00EB2D9A">
        <w:t>, 182.</w:t>
      </w:r>
    </w:p>
  </w:footnote>
  <w:footnote w:id="28">
    <w:p w:rsidR="00793CA9" w:rsidRDefault="00793CA9" w:rsidP="007B6FBD">
      <w:pPr>
        <w:pStyle w:val="FootnoteText"/>
        <w:ind w:firstLine="720"/>
      </w:pPr>
      <w:r>
        <w:rPr>
          <w:rStyle w:val="FootnoteReference"/>
        </w:rPr>
        <w:footnoteRef/>
      </w:r>
      <w:r>
        <w:t xml:space="preserve">Ludwig Wittgenstein, </w:t>
      </w:r>
      <w:r>
        <w:rPr>
          <w:i/>
        </w:rPr>
        <w:t xml:space="preserve">Philosophical Grammar, </w:t>
      </w:r>
      <w:r>
        <w:t>ed. Rush Rhees, trans. Anthony Kenny (Berkeley and Los Angeles: University of California Press, 1974), §56.</w:t>
      </w:r>
    </w:p>
  </w:footnote>
  <w:footnote w:id="29">
    <w:p w:rsidR="00793CA9" w:rsidRDefault="00793CA9" w:rsidP="007B6FBD">
      <w:pPr>
        <w:pStyle w:val="FootnoteText"/>
        <w:ind w:firstLine="720"/>
      </w:pPr>
      <w:r>
        <w:rPr>
          <w:rStyle w:val="FootnoteReference"/>
        </w:rPr>
        <w:footnoteRef/>
      </w:r>
      <w:r>
        <w:t>Ibid., §55.</w:t>
      </w:r>
    </w:p>
  </w:footnote>
  <w:footnote w:id="30">
    <w:p w:rsidR="00793CA9" w:rsidRDefault="00793CA9" w:rsidP="007B6FBD">
      <w:pPr>
        <w:pStyle w:val="FootnoteText"/>
        <w:ind w:firstLine="720"/>
      </w:pPr>
      <w:r>
        <w:rPr>
          <w:rStyle w:val="FootnoteReference"/>
        </w:rPr>
        <w:footnoteRef/>
      </w:r>
      <w:r>
        <w:t>Ibid., §95.</w:t>
      </w:r>
    </w:p>
  </w:footnote>
  <w:footnote w:id="31">
    <w:p w:rsidR="00793CA9" w:rsidRDefault="00793CA9" w:rsidP="007B6FBD">
      <w:pPr>
        <w:pStyle w:val="FootnoteText"/>
        <w:ind w:firstLine="720"/>
      </w:pPr>
      <w:r>
        <w:rPr>
          <w:rStyle w:val="FootnoteReference"/>
        </w:rPr>
        <w:footnoteRef/>
      </w:r>
      <w:r>
        <w:t xml:space="preserve">Ludwig Wittgenstein, </w:t>
      </w:r>
      <w:r>
        <w:rPr>
          <w:i/>
        </w:rPr>
        <w:t xml:space="preserve">On Certainty, </w:t>
      </w:r>
      <w:r>
        <w:t>ed. G.E.M. Anscombe and G.H. von Wright, trans. Denis Paul and G.E.M. Anscombe (New York: Harper and Row, Publishers, 1969), §105.</w:t>
      </w:r>
    </w:p>
  </w:footnote>
  <w:footnote w:id="32">
    <w:p w:rsidR="00793CA9" w:rsidRPr="00F6307A" w:rsidRDefault="00793CA9" w:rsidP="007B6FBD">
      <w:pPr>
        <w:pStyle w:val="FootnoteText"/>
        <w:ind w:firstLine="720"/>
      </w:pPr>
      <w:r>
        <w:rPr>
          <w:rStyle w:val="FootnoteReference"/>
        </w:rPr>
        <w:footnoteRef/>
      </w:r>
      <w:r>
        <w:t xml:space="preserve"> For example, </w:t>
      </w:r>
      <w:r w:rsidR="007A41B9">
        <w:t xml:space="preserve">another nominalist, </w:t>
      </w:r>
      <w:r>
        <w:t xml:space="preserve">Alasdair MacIntyre closely follows the later Wittgenstein in his </w:t>
      </w:r>
      <w:r w:rsidRPr="00F6307A">
        <w:rPr>
          <w:i/>
        </w:rPr>
        <w:t>After Virtue</w:t>
      </w:r>
      <w:r>
        <w:t xml:space="preserve"> and </w:t>
      </w:r>
      <w:r w:rsidRPr="00F6307A">
        <w:rPr>
          <w:i/>
        </w:rPr>
        <w:t>Whose Justice? Which Rationality?</w:t>
      </w:r>
      <w:r>
        <w:t xml:space="preserve"> See my </w:t>
      </w:r>
      <w:r w:rsidRPr="00F6307A">
        <w:rPr>
          <w:i/>
        </w:rPr>
        <w:t>In Search of Moral Knowledge</w:t>
      </w:r>
      <w:r>
        <w:t xml:space="preserve"> (Downers Grove, IL: InterVarsity Press, 2014), chs. 9 and 11 for that discussion. </w:t>
      </w:r>
    </w:p>
  </w:footnote>
  <w:footnote w:id="33">
    <w:p w:rsidR="00793CA9" w:rsidRDefault="00793CA9" w:rsidP="007B6FBD">
      <w:pPr>
        <w:pStyle w:val="FootnoteText"/>
        <w:ind w:firstLine="720"/>
      </w:pPr>
      <w:r>
        <w:rPr>
          <w:rStyle w:val="FootnoteReference"/>
        </w:rPr>
        <w:footnoteRef/>
      </w:r>
      <w:r>
        <w:t xml:space="preserve"> Jacques Derrida, </w:t>
      </w:r>
      <w:r w:rsidRPr="00566046">
        <w:rPr>
          <w:i/>
        </w:rPr>
        <w:t>Of Grammatology</w:t>
      </w:r>
      <w:r>
        <w:t>, trans. Gayatri Chakravorty Spivak (Baltimore: John Hopkins Press, 1976), 158, quoted in Westphal, “Hermeneutics as Epistemology,” 429.</w:t>
      </w:r>
    </w:p>
  </w:footnote>
  <w:footnote w:id="34">
    <w:p w:rsidR="00793CA9" w:rsidRDefault="00793CA9" w:rsidP="007B6FBD">
      <w:pPr>
        <w:pStyle w:val="FootnoteText"/>
        <w:ind w:firstLine="720"/>
      </w:pPr>
      <w:r>
        <w:rPr>
          <w:rStyle w:val="FootnoteReference"/>
        </w:rPr>
        <w:footnoteRef/>
      </w:r>
      <w:r>
        <w:t xml:space="preserve"> Westphal, “Hermeneutics as Epistemology,” 430.</w:t>
      </w:r>
    </w:p>
  </w:footnote>
  <w:footnote w:id="35">
    <w:p w:rsidR="00793CA9" w:rsidRDefault="00793CA9" w:rsidP="007B6FBD">
      <w:pPr>
        <w:pStyle w:val="FootnoteText"/>
        <w:ind w:firstLine="720"/>
      </w:pPr>
      <w:r>
        <w:rPr>
          <w:rStyle w:val="FootnoteReference"/>
        </w:rPr>
        <w:footnoteRef/>
      </w:r>
      <w:r>
        <w:t xml:space="preserve"> Ibid.</w:t>
      </w:r>
    </w:p>
  </w:footnote>
  <w:footnote w:id="36">
    <w:p w:rsidR="00793CA9" w:rsidRDefault="00793CA9" w:rsidP="007B6FBD">
      <w:pPr>
        <w:pStyle w:val="FootnoteText"/>
        <w:ind w:firstLine="720"/>
      </w:pPr>
      <w:r>
        <w:rPr>
          <w:rStyle w:val="FootnoteReference"/>
        </w:rPr>
        <w:footnoteRef/>
      </w:r>
      <w:r>
        <w:t xml:space="preserve"> Ibid.</w:t>
      </w:r>
    </w:p>
  </w:footnote>
  <w:footnote w:id="37">
    <w:p w:rsidR="00793CA9" w:rsidRDefault="00793CA9" w:rsidP="007B6FBD">
      <w:pPr>
        <w:pStyle w:val="FootnoteText"/>
        <w:ind w:firstLine="720"/>
      </w:pPr>
      <w:r>
        <w:rPr>
          <w:rStyle w:val="FootnoteReference"/>
        </w:rPr>
        <w:footnoteRef/>
      </w:r>
      <w:r>
        <w:t xml:space="preserve"> Derrida, </w:t>
      </w:r>
      <w:r w:rsidRPr="00566046">
        <w:rPr>
          <w:i/>
        </w:rPr>
        <w:t>Of Grammatology</w:t>
      </w:r>
      <w:r>
        <w:t>, 49, as quoted by Westphal, “Hermeneutics as Epistemology,” 430.</w:t>
      </w:r>
    </w:p>
  </w:footnote>
  <w:footnote w:id="38">
    <w:p w:rsidR="00793CA9" w:rsidRDefault="00793CA9" w:rsidP="007B6FBD">
      <w:pPr>
        <w:pStyle w:val="FootnoteText"/>
        <w:ind w:firstLine="720"/>
      </w:pPr>
      <w:r>
        <w:rPr>
          <w:rStyle w:val="FootnoteReference"/>
        </w:rPr>
        <w:footnoteRef/>
      </w:r>
      <w:r>
        <w:t xml:space="preserve"> </w:t>
      </w:r>
      <w:r w:rsidRPr="00A81D16">
        <w:t>Dennett 1990, 300</w:t>
      </w:r>
      <w:r>
        <w:t>.</w:t>
      </w:r>
    </w:p>
  </w:footnote>
  <w:footnote w:id="39">
    <w:p w:rsidR="00793CA9" w:rsidRDefault="00793CA9" w:rsidP="007B6FBD">
      <w:pPr>
        <w:pStyle w:val="FootnoteText"/>
        <w:ind w:firstLine="720"/>
      </w:pPr>
      <w:r>
        <w:rPr>
          <w:rStyle w:val="FootnoteReference"/>
        </w:rPr>
        <w:footnoteRef/>
      </w:r>
      <w:r>
        <w:t xml:space="preserve"> It seems that, in principle, the same result should hold for other naturalists as well</w:t>
      </w:r>
      <w:r w:rsidR="001D3D2C">
        <w:t>, for they deny essences. They also (almost always) embrace nominalism</w:t>
      </w:r>
      <w:r>
        <w:t xml:space="preserve">. I argue to this end in </w:t>
      </w:r>
      <w:r w:rsidRPr="00BD0886">
        <w:rPr>
          <w:i/>
        </w:rPr>
        <w:t>Naturalism and Our Knowledge of Reality: Testing Religious Truth-claims</w:t>
      </w:r>
      <w:r>
        <w:t xml:space="preserve"> (Aldershot, UK: Ashgate, 2012). </w:t>
      </w:r>
    </w:p>
  </w:footnote>
  <w:footnote w:id="40">
    <w:p w:rsidR="00DD0505" w:rsidRDefault="00DD0505" w:rsidP="007B6FBD">
      <w:pPr>
        <w:pStyle w:val="FootnoteText"/>
        <w:ind w:firstLine="720"/>
      </w:pPr>
      <w:r>
        <w:rPr>
          <w:rStyle w:val="FootnoteReference"/>
        </w:rPr>
        <w:footnoteRef/>
      </w:r>
      <w:r>
        <w:t xml:space="preserve"> Of course, Kant also was a rationalist.</w:t>
      </w:r>
    </w:p>
  </w:footnote>
  <w:footnote w:id="41">
    <w:p w:rsidR="00DB04B5" w:rsidRDefault="00DB04B5">
      <w:pPr>
        <w:pStyle w:val="FootnoteText"/>
      </w:pPr>
      <w:r>
        <w:rPr>
          <w:rStyle w:val="FootnoteReference"/>
        </w:rPr>
        <w:footnoteRef/>
      </w:r>
      <w:r>
        <w:t xml:space="preserve"> </w:t>
      </w:r>
      <w:r w:rsidRPr="00A72774">
        <w:t>I am not sure it is accurate to claim that Wittgenstein’s and Derrida’s views are empiricist.</w:t>
      </w:r>
      <w:r>
        <w:t xml:space="preserve"> I think to show that would require an argument to that effect.</w:t>
      </w:r>
    </w:p>
  </w:footnote>
  <w:footnote w:id="42">
    <w:p w:rsidR="00CE18A0" w:rsidRDefault="00CE18A0" w:rsidP="007B6FBD">
      <w:pPr>
        <w:pStyle w:val="FootnoteText"/>
        <w:ind w:firstLine="720"/>
      </w:pPr>
      <w:r>
        <w:rPr>
          <w:rStyle w:val="FootnoteReference"/>
        </w:rPr>
        <w:footnoteRef/>
      </w:r>
      <w:r>
        <w:t xml:space="preserve"> This also was the case with Thomas Hobbes </w:t>
      </w:r>
      <w:r>
        <w:rPr>
          <w:szCs w:val="24"/>
        </w:rPr>
        <w:t>(1588-1679)</w:t>
      </w:r>
      <w:r>
        <w:t>, who was an atomist, empiricist, and rationalist.</w:t>
      </w:r>
    </w:p>
  </w:footnote>
  <w:footnote w:id="43">
    <w:p w:rsidR="00900545" w:rsidRDefault="00900545" w:rsidP="007B6FBD">
      <w:pPr>
        <w:pStyle w:val="FootnoteText"/>
        <w:ind w:firstLine="720"/>
      </w:pPr>
      <w:r>
        <w:rPr>
          <w:rStyle w:val="FootnoteReference"/>
        </w:rPr>
        <w:footnoteRef/>
      </w:r>
      <w:r>
        <w:t xml:space="preserve"> For example, I have argued elsewhere that externalism in epistemology also results in constructivism. See my </w:t>
      </w:r>
      <w:r w:rsidRPr="0078036E">
        <w:rPr>
          <w:i/>
        </w:rPr>
        <w:t>Naturalism and Our Knowledge of Reality: Testing Religious Truth-claims</w:t>
      </w:r>
      <w:r>
        <w:t xml:space="preserve"> (Aldershot, UK: Ashgate, 2012), 150-51.</w:t>
      </w:r>
    </w:p>
  </w:footnote>
  <w:footnote w:id="44">
    <w:p w:rsidR="00900545" w:rsidRDefault="00900545" w:rsidP="007B6FBD">
      <w:pPr>
        <w:pStyle w:val="FootnoteText"/>
        <w:ind w:firstLine="720"/>
      </w:pPr>
      <w:r>
        <w:rPr>
          <w:rStyle w:val="FootnoteReference"/>
        </w:rPr>
        <w:footnoteRef/>
      </w:r>
      <w:r>
        <w:t xml:space="preserve"> See ch. 1 of </w:t>
      </w:r>
      <w:r w:rsidRPr="00BD0886">
        <w:rPr>
          <w:i/>
        </w:rPr>
        <w:t>Naturalism and Our Knowledge of Reality</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60460"/>
      <w:docPartObj>
        <w:docPartGallery w:val="Page Numbers (Top of Page)"/>
        <w:docPartUnique/>
      </w:docPartObj>
    </w:sdtPr>
    <w:sdtEndPr>
      <w:rPr>
        <w:noProof/>
      </w:rPr>
    </w:sdtEndPr>
    <w:sdtContent>
      <w:p w:rsidR="00793CA9" w:rsidRDefault="00793CA9">
        <w:pPr>
          <w:pStyle w:val="Header"/>
          <w:jc w:val="right"/>
        </w:pPr>
        <w:r>
          <w:fldChar w:fldCharType="begin"/>
        </w:r>
        <w:r>
          <w:instrText xml:space="preserve"> PAGE   \* MERGEFORMAT </w:instrText>
        </w:r>
        <w:r>
          <w:fldChar w:fldCharType="separate"/>
        </w:r>
        <w:r w:rsidR="005F4432">
          <w:rPr>
            <w:noProof/>
          </w:rPr>
          <w:t>14</w:t>
        </w:r>
        <w:r>
          <w:rPr>
            <w:noProof/>
          </w:rPr>
          <w:fldChar w:fldCharType="end"/>
        </w:r>
      </w:p>
    </w:sdtContent>
  </w:sdt>
  <w:p w:rsidR="00793CA9" w:rsidRDefault="0079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30A8"/>
    <w:multiLevelType w:val="hybridMultilevel"/>
    <w:tmpl w:val="18DC1A90"/>
    <w:lvl w:ilvl="0" w:tplc="8A24E70C">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BA"/>
    <w:rsid w:val="0000090F"/>
    <w:rsid w:val="000402DF"/>
    <w:rsid w:val="00067F94"/>
    <w:rsid w:val="000824A9"/>
    <w:rsid w:val="00094003"/>
    <w:rsid w:val="000D1260"/>
    <w:rsid w:val="000D322B"/>
    <w:rsid w:val="000D34E5"/>
    <w:rsid w:val="000E76F1"/>
    <w:rsid w:val="000F6DE4"/>
    <w:rsid w:val="00106A6F"/>
    <w:rsid w:val="00110050"/>
    <w:rsid w:val="00114C3B"/>
    <w:rsid w:val="00116219"/>
    <w:rsid w:val="00116DE6"/>
    <w:rsid w:val="001409A9"/>
    <w:rsid w:val="00155553"/>
    <w:rsid w:val="00157D84"/>
    <w:rsid w:val="001641A2"/>
    <w:rsid w:val="001646FF"/>
    <w:rsid w:val="00193C3E"/>
    <w:rsid w:val="00194D43"/>
    <w:rsid w:val="001B7D90"/>
    <w:rsid w:val="001D0899"/>
    <w:rsid w:val="001D2DEC"/>
    <w:rsid w:val="001D3D2C"/>
    <w:rsid w:val="001F409E"/>
    <w:rsid w:val="00202C83"/>
    <w:rsid w:val="00211C13"/>
    <w:rsid w:val="00233DE0"/>
    <w:rsid w:val="00240F59"/>
    <w:rsid w:val="0024325C"/>
    <w:rsid w:val="002470A1"/>
    <w:rsid w:val="0027011E"/>
    <w:rsid w:val="0027409E"/>
    <w:rsid w:val="00282D78"/>
    <w:rsid w:val="002C2237"/>
    <w:rsid w:val="002D570E"/>
    <w:rsid w:val="003033E8"/>
    <w:rsid w:val="00312B6F"/>
    <w:rsid w:val="00314907"/>
    <w:rsid w:val="003502D2"/>
    <w:rsid w:val="003542CD"/>
    <w:rsid w:val="00366904"/>
    <w:rsid w:val="00367361"/>
    <w:rsid w:val="00367A7C"/>
    <w:rsid w:val="003927DB"/>
    <w:rsid w:val="003968D7"/>
    <w:rsid w:val="003C651C"/>
    <w:rsid w:val="003D7958"/>
    <w:rsid w:val="003F7428"/>
    <w:rsid w:val="00407CC2"/>
    <w:rsid w:val="00422DAC"/>
    <w:rsid w:val="00434C0A"/>
    <w:rsid w:val="004524EB"/>
    <w:rsid w:val="00466E92"/>
    <w:rsid w:val="004820EC"/>
    <w:rsid w:val="0049049B"/>
    <w:rsid w:val="004938F2"/>
    <w:rsid w:val="00495304"/>
    <w:rsid w:val="004A0871"/>
    <w:rsid w:val="004A269A"/>
    <w:rsid w:val="004C3BBB"/>
    <w:rsid w:val="004D0719"/>
    <w:rsid w:val="004D4123"/>
    <w:rsid w:val="004E23F2"/>
    <w:rsid w:val="004E6EF5"/>
    <w:rsid w:val="004F29D0"/>
    <w:rsid w:val="00502349"/>
    <w:rsid w:val="00513526"/>
    <w:rsid w:val="00523424"/>
    <w:rsid w:val="005660BD"/>
    <w:rsid w:val="0057662D"/>
    <w:rsid w:val="00581FD1"/>
    <w:rsid w:val="00587A7A"/>
    <w:rsid w:val="005930DA"/>
    <w:rsid w:val="0059436F"/>
    <w:rsid w:val="005A3695"/>
    <w:rsid w:val="005B1E38"/>
    <w:rsid w:val="005B363C"/>
    <w:rsid w:val="005C3150"/>
    <w:rsid w:val="005C3B47"/>
    <w:rsid w:val="005D28D2"/>
    <w:rsid w:val="005F4432"/>
    <w:rsid w:val="00606CDF"/>
    <w:rsid w:val="006125F1"/>
    <w:rsid w:val="0062101E"/>
    <w:rsid w:val="00623550"/>
    <w:rsid w:val="00642992"/>
    <w:rsid w:val="00645646"/>
    <w:rsid w:val="00651F78"/>
    <w:rsid w:val="006618D7"/>
    <w:rsid w:val="00662FDB"/>
    <w:rsid w:val="00667081"/>
    <w:rsid w:val="00676ED2"/>
    <w:rsid w:val="006773CE"/>
    <w:rsid w:val="006845FD"/>
    <w:rsid w:val="00684ED8"/>
    <w:rsid w:val="0069015E"/>
    <w:rsid w:val="0069063B"/>
    <w:rsid w:val="006950D2"/>
    <w:rsid w:val="006A46E4"/>
    <w:rsid w:val="006D314E"/>
    <w:rsid w:val="007002A3"/>
    <w:rsid w:val="007010D2"/>
    <w:rsid w:val="007063E2"/>
    <w:rsid w:val="00714AAD"/>
    <w:rsid w:val="007155E8"/>
    <w:rsid w:val="007207D4"/>
    <w:rsid w:val="00721E51"/>
    <w:rsid w:val="00724A76"/>
    <w:rsid w:val="0074489A"/>
    <w:rsid w:val="00762381"/>
    <w:rsid w:val="0076367D"/>
    <w:rsid w:val="00767F1E"/>
    <w:rsid w:val="00784DA6"/>
    <w:rsid w:val="00793CA9"/>
    <w:rsid w:val="007A2DF7"/>
    <w:rsid w:val="007A41B9"/>
    <w:rsid w:val="007B1DAC"/>
    <w:rsid w:val="007B596A"/>
    <w:rsid w:val="007B6FBD"/>
    <w:rsid w:val="007B6FDF"/>
    <w:rsid w:val="007C1928"/>
    <w:rsid w:val="007C2C5C"/>
    <w:rsid w:val="007C484E"/>
    <w:rsid w:val="007C5ABC"/>
    <w:rsid w:val="007C6071"/>
    <w:rsid w:val="007F0B03"/>
    <w:rsid w:val="00814B37"/>
    <w:rsid w:val="00833820"/>
    <w:rsid w:val="00847896"/>
    <w:rsid w:val="008A0640"/>
    <w:rsid w:val="008B0A17"/>
    <w:rsid w:val="008B39CC"/>
    <w:rsid w:val="008B767F"/>
    <w:rsid w:val="008D0684"/>
    <w:rsid w:val="008F11E1"/>
    <w:rsid w:val="00900545"/>
    <w:rsid w:val="00902BAB"/>
    <w:rsid w:val="0090549A"/>
    <w:rsid w:val="0092262D"/>
    <w:rsid w:val="00926FF9"/>
    <w:rsid w:val="0093469C"/>
    <w:rsid w:val="009560B0"/>
    <w:rsid w:val="00967FAF"/>
    <w:rsid w:val="00986F4C"/>
    <w:rsid w:val="009C2DCD"/>
    <w:rsid w:val="009D0932"/>
    <w:rsid w:val="009D14D0"/>
    <w:rsid w:val="009D4EBF"/>
    <w:rsid w:val="009F7BB1"/>
    <w:rsid w:val="00A01260"/>
    <w:rsid w:val="00A178DA"/>
    <w:rsid w:val="00A2519E"/>
    <w:rsid w:val="00A315F0"/>
    <w:rsid w:val="00A44A68"/>
    <w:rsid w:val="00A5047F"/>
    <w:rsid w:val="00A5259C"/>
    <w:rsid w:val="00A55101"/>
    <w:rsid w:val="00A72774"/>
    <w:rsid w:val="00A7558E"/>
    <w:rsid w:val="00A83188"/>
    <w:rsid w:val="00A935D2"/>
    <w:rsid w:val="00A94206"/>
    <w:rsid w:val="00AB25DE"/>
    <w:rsid w:val="00AC0D1E"/>
    <w:rsid w:val="00AC3F35"/>
    <w:rsid w:val="00AE6910"/>
    <w:rsid w:val="00B13101"/>
    <w:rsid w:val="00B41AAD"/>
    <w:rsid w:val="00B54AFB"/>
    <w:rsid w:val="00B55327"/>
    <w:rsid w:val="00B73DD2"/>
    <w:rsid w:val="00B74F49"/>
    <w:rsid w:val="00B92C55"/>
    <w:rsid w:val="00BA1829"/>
    <w:rsid w:val="00BB039F"/>
    <w:rsid w:val="00BB0C1C"/>
    <w:rsid w:val="00BB22C1"/>
    <w:rsid w:val="00BD0886"/>
    <w:rsid w:val="00BD0C05"/>
    <w:rsid w:val="00BD2D23"/>
    <w:rsid w:val="00BD4DBA"/>
    <w:rsid w:val="00BD4FBA"/>
    <w:rsid w:val="00BE705A"/>
    <w:rsid w:val="00BF4FF6"/>
    <w:rsid w:val="00BF51D1"/>
    <w:rsid w:val="00C00C3F"/>
    <w:rsid w:val="00C12AAE"/>
    <w:rsid w:val="00C4418B"/>
    <w:rsid w:val="00C46922"/>
    <w:rsid w:val="00C645AF"/>
    <w:rsid w:val="00C81771"/>
    <w:rsid w:val="00C82184"/>
    <w:rsid w:val="00C90850"/>
    <w:rsid w:val="00C954DF"/>
    <w:rsid w:val="00CA785D"/>
    <w:rsid w:val="00CD3BFA"/>
    <w:rsid w:val="00CE18A0"/>
    <w:rsid w:val="00CE35C2"/>
    <w:rsid w:val="00D1576E"/>
    <w:rsid w:val="00D160B4"/>
    <w:rsid w:val="00D345F7"/>
    <w:rsid w:val="00D34E2E"/>
    <w:rsid w:val="00D42363"/>
    <w:rsid w:val="00D54361"/>
    <w:rsid w:val="00D61B16"/>
    <w:rsid w:val="00D72E6A"/>
    <w:rsid w:val="00D745A5"/>
    <w:rsid w:val="00D84B5E"/>
    <w:rsid w:val="00D960A7"/>
    <w:rsid w:val="00DB04B5"/>
    <w:rsid w:val="00DB55B2"/>
    <w:rsid w:val="00DC27AA"/>
    <w:rsid w:val="00DC7178"/>
    <w:rsid w:val="00DD0505"/>
    <w:rsid w:val="00DD0771"/>
    <w:rsid w:val="00DD1404"/>
    <w:rsid w:val="00DD5E85"/>
    <w:rsid w:val="00DE324E"/>
    <w:rsid w:val="00DF006C"/>
    <w:rsid w:val="00DF127D"/>
    <w:rsid w:val="00E03B28"/>
    <w:rsid w:val="00E04740"/>
    <w:rsid w:val="00E05124"/>
    <w:rsid w:val="00E13DA7"/>
    <w:rsid w:val="00E30F71"/>
    <w:rsid w:val="00E31A11"/>
    <w:rsid w:val="00E3435F"/>
    <w:rsid w:val="00E35828"/>
    <w:rsid w:val="00E36D52"/>
    <w:rsid w:val="00E43EC9"/>
    <w:rsid w:val="00E50FF0"/>
    <w:rsid w:val="00E67AF7"/>
    <w:rsid w:val="00E818F4"/>
    <w:rsid w:val="00E874F0"/>
    <w:rsid w:val="00EA262C"/>
    <w:rsid w:val="00EB2D9A"/>
    <w:rsid w:val="00EC6FC6"/>
    <w:rsid w:val="00ED421F"/>
    <w:rsid w:val="00F059A4"/>
    <w:rsid w:val="00F05A35"/>
    <w:rsid w:val="00F1390F"/>
    <w:rsid w:val="00F15974"/>
    <w:rsid w:val="00F31074"/>
    <w:rsid w:val="00F57709"/>
    <w:rsid w:val="00F607C4"/>
    <w:rsid w:val="00F6307A"/>
    <w:rsid w:val="00F66074"/>
    <w:rsid w:val="00F82FDE"/>
    <w:rsid w:val="00F929FE"/>
    <w:rsid w:val="00FD03B9"/>
    <w:rsid w:val="00FE1C43"/>
    <w:rsid w:val="00FE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D5E85"/>
    <w:rPr>
      <w:sz w:val="20"/>
      <w:szCs w:val="20"/>
    </w:rPr>
  </w:style>
  <w:style w:type="character" w:customStyle="1" w:styleId="FootnoteTextChar">
    <w:name w:val="Footnote Text Char"/>
    <w:basedOn w:val="DefaultParagraphFont"/>
    <w:link w:val="FootnoteText"/>
    <w:semiHidden/>
    <w:rsid w:val="00DD5E85"/>
    <w:rPr>
      <w:sz w:val="20"/>
      <w:szCs w:val="20"/>
    </w:rPr>
  </w:style>
  <w:style w:type="character" w:styleId="FootnoteReference">
    <w:name w:val="footnote reference"/>
    <w:basedOn w:val="DefaultParagraphFont"/>
    <w:semiHidden/>
    <w:unhideWhenUsed/>
    <w:rsid w:val="00DD5E85"/>
    <w:rPr>
      <w:vertAlign w:val="superscript"/>
    </w:rPr>
  </w:style>
  <w:style w:type="paragraph" w:styleId="Header">
    <w:name w:val="header"/>
    <w:basedOn w:val="Normal"/>
    <w:link w:val="HeaderChar"/>
    <w:uiPriority w:val="99"/>
    <w:unhideWhenUsed/>
    <w:rsid w:val="00523424"/>
    <w:pPr>
      <w:tabs>
        <w:tab w:val="center" w:pos="4680"/>
        <w:tab w:val="right" w:pos="9360"/>
      </w:tabs>
    </w:pPr>
  </w:style>
  <w:style w:type="character" w:customStyle="1" w:styleId="HeaderChar">
    <w:name w:val="Header Char"/>
    <w:basedOn w:val="DefaultParagraphFont"/>
    <w:link w:val="Header"/>
    <w:uiPriority w:val="99"/>
    <w:rsid w:val="00523424"/>
  </w:style>
  <w:style w:type="paragraph" w:styleId="Footer">
    <w:name w:val="footer"/>
    <w:basedOn w:val="Normal"/>
    <w:link w:val="FooterChar"/>
    <w:uiPriority w:val="99"/>
    <w:unhideWhenUsed/>
    <w:rsid w:val="00523424"/>
    <w:pPr>
      <w:tabs>
        <w:tab w:val="center" w:pos="4680"/>
        <w:tab w:val="right" w:pos="9360"/>
      </w:tabs>
    </w:pPr>
  </w:style>
  <w:style w:type="character" w:customStyle="1" w:styleId="FooterChar">
    <w:name w:val="Footer Char"/>
    <w:basedOn w:val="DefaultParagraphFont"/>
    <w:link w:val="Footer"/>
    <w:uiPriority w:val="99"/>
    <w:rsid w:val="00523424"/>
  </w:style>
  <w:style w:type="paragraph" w:styleId="ListParagraph">
    <w:name w:val="List Paragraph"/>
    <w:basedOn w:val="Normal"/>
    <w:uiPriority w:val="34"/>
    <w:qFormat/>
    <w:rsid w:val="00F82FDE"/>
    <w:pPr>
      <w:ind w:left="720"/>
      <w:contextualSpacing/>
    </w:pPr>
    <w:rPr>
      <w:rFonts w:asciiTheme="minorHAnsi" w:hAnsiTheme="minorHAnsi"/>
      <w:sz w:val="22"/>
    </w:rPr>
  </w:style>
  <w:style w:type="paragraph" w:styleId="BodyText">
    <w:name w:val="Body Text"/>
    <w:basedOn w:val="Normal"/>
    <w:link w:val="BodyTextChar"/>
    <w:rsid w:val="00211C13"/>
    <w:rPr>
      <w:rFonts w:eastAsia="Times New Roman" w:cs="Times New Roman"/>
      <w:color w:val="000000"/>
      <w:szCs w:val="20"/>
    </w:rPr>
  </w:style>
  <w:style w:type="character" w:customStyle="1" w:styleId="BodyTextChar">
    <w:name w:val="Body Text Char"/>
    <w:basedOn w:val="DefaultParagraphFont"/>
    <w:link w:val="BodyText"/>
    <w:rsid w:val="00211C13"/>
    <w:rPr>
      <w:rFonts w:eastAsia="Times New Roman" w:cs="Times New Roman"/>
      <w:color w:val="000000"/>
      <w:szCs w:val="20"/>
    </w:rPr>
  </w:style>
  <w:style w:type="character" w:styleId="PageNumber">
    <w:name w:val="page number"/>
    <w:basedOn w:val="DefaultParagraphFont"/>
    <w:rsid w:val="00314907"/>
  </w:style>
  <w:style w:type="character" w:customStyle="1" w:styleId="hbodytext1">
    <w:name w:val="h_body_text1"/>
    <w:basedOn w:val="DefaultParagraphFont"/>
    <w:rsid w:val="002C2237"/>
    <w:rPr>
      <w:rFonts w:ascii="Tahoma" w:hAnsi="Tahoma" w:cs="Tahoma" w:hint="default"/>
      <w:b w:val="0"/>
      <w:bCs w:val="0"/>
      <w:smallCaps w:val="0"/>
      <w:strike w:val="0"/>
      <w:dstrike w:val="0"/>
      <w:color w:val="000000"/>
      <w:sz w:val="18"/>
      <w:szCs w:val="18"/>
      <w:u w:val="none"/>
      <w:effect w:val="none"/>
    </w:rPr>
  </w:style>
  <w:style w:type="character" w:styleId="Hyperlink">
    <w:name w:val="Hyperlink"/>
    <w:basedOn w:val="DefaultParagraphFont"/>
    <w:uiPriority w:val="99"/>
    <w:unhideWhenUsed/>
    <w:rsid w:val="00202C83"/>
    <w:rPr>
      <w:strike w:val="0"/>
      <w:dstrike w:val="0"/>
      <w:color w:val="0066C0"/>
      <w:u w:val="none"/>
      <w:effect w:val="none"/>
    </w:rPr>
  </w:style>
  <w:style w:type="character" w:customStyle="1" w:styleId="author">
    <w:name w:val="author"/>
    <w:basedOn w:val="DefaultParagraphFont"/>
    <w:rsid w:val="00202C83"/>
  </w:style>
  <w:style w:type="character" w:styleId="CommentReference">
    <w:name w:val="annotation reference"/>
    <w:basedOn w:val="DefaultParagraphFont"/>
    <w:uiPriority w:val="99"/>
    <w:semiHidden/>
    <w:unhideWhenUsed/>
    <w:rsid w:val="00E35828"/>
    <w:rPr>
      <w:sz w:val="16"/>
      <w:szCs w:val="16"/>
    </w:rPr>
  </w:style>
  <w:style w:type="paragraph" w:styleId="CommentText">
    <w:name w:val="annotation text"/>
    <w:basedOn w:val="Normal"/>
    <w:link w:val="CommentTextChar"/>
    <w:uiPriority w:val="99"/>
    <w:semiHidden/>
    <w:unhideWhenUsed/>
    <w:rsid w:val="00E35828"/>
    <w:rPr>
      <w:sz w:val="20"/>
      <w:szCs w:val="20"/>
    </w:rPr>
  </w:style>
  <w:style w:type="character" w:customStyle="1" w:styleId="CommentTextChar">
    <w:name w:val="Comment Text Char"/>
    <w:basedOn w:val="DefaultParagraphFont"/>
    <w:link w:val="CommentText"/>
    <w:uiPriority w:val="99"/>
    <w:semiHidden/>
    <w:rsid w:val="00E35828"/>
    <w:rPr>
      <w:sz w:val="20"/>
      <w:szCs w:val="20"/>
    </w:rPr>
  </w:style>
  <w:style w:type="paragraph" w:styleId="CommentSubject">
    <w:name w:val="annotation subject"/>
    <w:basedOn w:val="CommentText"/>
    <w:next w:val="CommentText"/>
    <w:link w:val="CommentSubjectChar"/>
    <w:uiPriority w:val="99"/>
    <w:semiHidden/>
    <w:unhideWhenUsed/>
    <w:rsid w:val="00E35828"/>
    <w:rPr>
      <w:b/>
      <w:bCs/>
    </w:rPr>
  </w:style>
  <w:style w:type="character" w:customStyle="1" w:styleId="CommentSubjectChar">
    <w:name w:val="Comment Subject Char"/>
    <w:basedOn w:val="CommentTextChar"/>
    <w:link w:val="CommentSubject"/>
    <w:uiPriority w:val="99"/>
    <w:semiHidden/>
    <w:rsid w:val="00E35828"/>
    <w:rPr>
      <w:b/>
      <w:bCs/>
      <w:sz w:val="20"/>
      <w:szCs w:val="20"/>
    </w:rPr>
  </w:style>
  <w:style w:type="paragraph" w:styleId="BalloonText">
    <w:name w:val="Balloon Text"/>
    <w:basedOn w:val="Normal"/>
    <w:link w:val="BalloonTextChar"/>
    <w:uiPriority w:val="99"/>
    <w:semiHidden/>
    <w:unhideWhenUsed/>
    <w:rsid w:val="00E35828"/>
    <w:rPr>
      <w:rFonts w:ascii="Tahoma" w:hAnsi="Tahoma" w:cs="Tahoma"/>
      <w:sz w:val="16"/>
      <w:szCs w:val="16"/>
    </w:rPr>
  </w:style>
  <w:style w:type="character" w:customStyle="1" w:styleId="BalloonTextChar">
    <w:name w:val="Balloon Text Char"/>
    <w:basedOn w:val="DefaultParagraphFont"/>
    <w:link w:val="BalloonText"/>
    <w:uiPriority w:val="99"/>
    <w:semiHidden/>
    <w:rsid w:val="00E35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D5E85"/>
    <w:rPr>
      <w:sz w:val="20"/>
      <w:szCs w:val="20"/>
    </w:rPr>
  </w:style>
  <w:style w:type="character" w:customStyle="1" w:styleId="FootnoteTextChar">
    <w:name w:val="Footnote Text Char"/>
    <w:basedOn w:val="DefaultParagraphFont"/>
    <w:link w:val="FootnoteText"/>
    <w:semiHidden/>
    <w:rsid w:val="00DD5E85"/>
    <w:rPr>
      <w:sz w:val="20"/>
      <w:szCs w:val="20"/>
    </w:rPr>
  </w:style>
  <w:style w:type="character" w:styleId="FootnoteReference">
    <w:name w:val="footnote reference"/>
    <w:basedOn w:val="DefaultParagraphFont"/>
    <w:semiHidden/>
    <w:unhideWhenUsed/>
    <w:rsid w:val="00DD5E85"/>
    <w:rPr>
      <w:vertAlign w:val="superscript"/>
    </w:rPr>
  </w:style>
  <w:style w:type="paragraph" w:styleId="Header">
    <w:name w:val="header"/>
    <w:basedOn w:val="Normal"/>
    <w:link w:val="HeaderChar"/>
    <w:uiPriority w:val="99"/>
    <w:unhideWhenUsed/>
    <w:rsid w:val="00523424"/>
    <w:pPr>
      <w:tabs>
        <w:tab w:val="center" w:pos="4680"/>
        <w:tab w:val="right" w:pos="9360"/>
      </w:tabs>
    </w:pPr>
  </w:style>
  <w:style w:type="character" w:customStyle="1" w:styleId="HeaderChar">
    <w:name w:val="Header Char"/>
    <w:basedOn w:val="DefaultParagraphFont"/>
    <w:link w:val="Header"/>
    <w:uiPriority w:val="99"/>
    <w:rsid w:val="00523424"/>
  </w:style>
  <w:style w:type="paragraph" w:styleId="Footer">
    <w:name w:val="footer"/>
    <w:basedOn w:val="Normal"/>
    <w:link w:val="FooterChar"/>
    <w:uiPriority w:val="99"/>
    <w:unhideWhenUsed/>
    <w:rsid w:val="00523424"/>
    <w:pPr>
      <w:tabs>
        <w:tab w:val="center" w:pos="4680"/>
        <w:tab w:val="right" w:pos="9360"/>
      </w:tabs>
    </w:pPr>
  </w:style>
  <w:style w:type="character" w:customStyle="1" w:styleId="FooterChar">
    <w:name w:val="Footer Char"/>
    <w:basedOn w:val="DefaultParagraphFont"/>
    <w:link w:val="Footer"/>
    <w:uiPriority w:val="99"/>
    <w:rsid w:val="00523424"/>
  </w:style>
  <w:style w:type="paragraph" w:styleId="ListParagraph">
    <w:name w:val="List Paragraph"/>
    <w:basedOn w:val="Normal"/>
    <w:uiPriority w:val="34"/>
    <w:qFormat/>
    <w:rsid w:val="00F82FDE"/>
    <w:pPr>
      <w:ind w:left="720"/>
      <w:contextualSpacing/>
    </w:pPr>
    <w:rPr>
      <w:rFonts w:asciiTheme="minorHAnsi" w:hAnsiTheme="minorHAnsi"/>
      <w:sz w:val="22"/>
    </w:rPr>
  </w:style>
  <w:style w:type="paragraph" w:styleId="BodyText">
    <w:name w:val="Body Text"/>
    <w:basedOn w:val="Normal"/>
    <w:link w:val="BodyTextChar"/>
    <w:rsid w:val="00211C13"/>
    <w:rPr>
      <w:rFonts w:eastAsia="Times New Roman" w:cs="Times New Roman"/>
      <w:color w:val="000000"/>
      <w:szCs w:val="20"/>
    </w:rPr>
  </w:style>
  <w:style w:type="character" w:customStyle="1" w:styleId="BodyTextChar">
    <w:name w:val="Body Text Char"/>
    <w:basedOn w:val="DefaultParagraphFont"/>
    <w:link w:val="BodyText"/>
    <w:rsid w:val="00211C13"/>
    <w:rPr>
      <w:rFonts w:eastAsia="Times New Roman" w:cs="Times New Roman"/>
      <w:color w:val="000000"/>
      <w:szCs w:val="20"/>
    </w:rPr>
  </w:style>
  <w:style w:type="character" w:styleId="PageNumber">
    <w:name w:val="page number"/>
    <w:basedOn w:val="DefaultParagraphFont"/>
    <w:rsid w:val="00314907"/>
  </w:style>
  <w:style w:type="character" w:customStyle="1" w:styleId="hbodytext1">
    <w:name w:val="h_body_text1"/>
    <w:basedOn w:val="DefaultParagraphFont"/>
    <w:rsid w:val="002C2237"/>
    <w:rPr>
      <w:rFonts w:ascii="Tahoma" w:hAnsi="Tahoma" w:cs="Tahoma" w:hint="default"/>
      <w:b w:val="0"/>
      <w:bCs w:val="0"/>
      <w:smallCaps w:val="0"/>
      <w:strike w:val="0"/>
      <w:dstrike w:val="0"/>
      <w:color w:val="000000"/>
      <w:sz w:val="18"/>
      <w:szCs w:val="18"/>
      <w:u w:val="none"/>
      <w:effect w:val="none"/>
    </w:rPr>
  </w:style>
  <w:style w:type="character" w:styleId="Hyperlink">
    <w:name w:val="Hyperlink"/>
    <w:basedOn w:val="DefaultParagraphFont"/>
    <w:uiPriority w:val="99"/>
    <w:unhideWhenUsed/>
    <w:rsid w:val="00202C83"/>
    <w:rPr>
      <w:strike w:val="0"/>
      <w:dstrike w:val="0"/>
      <w:color w:val="0066C0"/>
      <w:u w:val="none"/>
      <w:effect w:val="none"/>
    </w:rPr>
  </w:style>
  <w:style w:type="character" w:customStyle="1" w:styleId="author">
    <w:name w:val="author"/>
    <w:basedOn w:val="DefaultParagraphFont"/>
    <w:rsid w:val="00202C83"/>
  </w:style>
  <w:style w:type="character" w:styleId="CommentReference">
    <w:name w:val="annotation reference"/>
    <w:basedOn w:val="DefaultParagraphFont"/>
    <w:uiPriority w:val="99"/>
    <w:semiHidden/>
    <w:unhideWhenUsed/>
    <w:rsid w:val="00E35828"/>
    <w:rPr>
      <w:sz w:val="16"/>
      <w:szCs w:val="16"/>
    </w:rPr>
  </w:style>
  <w:style w:type="paragraph" w:styleId="CommentText">
    <w:name w:val="annotation text"/>
    <w:basedOn w:val="Normal"/>
    <w:link w:val="CommentTextChar"/>
    <w:uiPriority w:val="99"/>
    <w:semiHidden/>
    <w:unhideWhenUsed/>
    <w:rsid w:val="00E35828"/>
    <w:rPr>
      <w:sz w:val="20"/>
      <w:szCs w:val="20"/>
    </w:rPr>
  </w:style>
  <w:style w:type="character" w:customStyle="1" w:styleId="CommentTextChar">
    <w:name w:val="Comment Text Char"/>
    <w:basedOn w:val="DefaultParagraphFont"/>
    <w:link w:val="CommentText"/>
    <w:uiPriority w:val="99"/>
    <w:semiHidden/>
    <w:rsid w:val="00E35828"/>
    <w:rPr>
      <w:sz w:val="20"/>
      <w:szCs w:val="20"/>
    </w:rPr>
  </w:style>
  <w:style w:type="paragraph" w:styleId="CommentSubject">
    <w:name w:val="annotation subject"/>
    <w:basedOn w:val="CommentText"/>
    <w:next w:val="CommentText"/>
    <w:link w:val="CommentSubjectChar"/>
    <w:uiPriority w:val="99"/>
    <w:semiHidden/>
    <w:unhideWhenUsed/>
    <w:rsid w:val="00E35828"/>
    <w:rPr>
      <w:b/>
      <w:bCs/>
    </w:rPr>
  </w:style>
  <w:style w:type="character" w:customStyle="1" w:styleId="CommentSubjectChar">
    <w:name w:val="Comment Subject Char"/>
    <w:basedOn w:val="CommentTextChar"/>
    <w:link w:val="CommentSubject"/>
    <w:uiPriority w:val="99"/>
    <w:semiHidden/>
    <w:rsid w:val="00E35828"/>
    <w:rPr>
      <w:b/>
      <w:bCs/>
      <w:sz w:val="20"/>
      <w:szCs w:val="20"/>
    </w:rPr>
  </w:style>
  <w:style w:type="paragraph" w:styleId="BalloonText">
    <w:name w:val="Balloon Text"/>
    <w:basedOn w:val="Normal"/>
    <w:link w:val="BalloonTextChar"/>
    <w:uiPriority w:val="99"/>
    <w:semiHidden/>
    <w:unhideWhenUsed/>
    <w:rsid w:val="00E35828"/>
    <w:rPr>
      <w:rFonts w:ascii="Tahoma" w:hAnsi="Tahoma" w:cs="Tahoma"/>
      <w:sz w:val="16"/>
      <w:szCs w:val="16"/>
    </w:rPr>
  </w:style>
  <w:style w:type="character" w:customStyle="1" w:styleId="BalloonTextChar">
    <w:name w:val="Balloon Text Char"/>
    <w:basedOn w:val="DefaultParagraphFont"/>
    <w:link w:val="BalloonText"/>
    <w:uiPriority w:val="99"/>
    <w:semiHidden/>
    <w:rsid w:val="00E35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smith@biol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s/ref=dp_byline_sr_book_3?ie=UTF8&amp;text=Marina+Sbis%C3%A0&amp;search-alias=books&amp;field-author=Marina+Sbis%C3%A0&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4351</TotalTime>
  <Pages>15</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Scott Smith</dc:creator>
  <cp:lastModifiedBy>R Scott Smith</cp:lastModifiedBy>
  <cp:revision>210</cp:revision>
  <cp:lastPrinted>2016-10-07T04:07:00Z</cp:lastPrinted>
  <dcterms:created xsi:type="dcterms:W3CDTF">2016-05-09T23:39:00Z</dcterms:created>
  <dcterms:modified xsi:type="dcterms:W3CDTF">2016-11-19T18:11:00Z</dcterms:modified>
</cp:coreProperties>
</file>